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7D1C6553" w:rsidR="00E90E49" w:rsidRPr="00F22649" w:rsidRDefault="00E90E49" w:rsidP="00E35559">
      <w:pPr>
        <w:pStyle w:val="3GPPHeader"/>
        <w:spacing w:after="60"/>
        <w:rPr>
          <w:sz w:val="32"/>
          <w:szCs w:val="32"/>
          <w:highlight w:val="yellow"/>
        </w:rPr>
      </w:pPr>
      <w:r w:rsidRPr="00F22649">
        <w:t>3GPP TSG-RAN WG</w:t>
      </w:r>
      <w:r w:rsidR="008F1C4E" w:rsidRPr="00F22649">
        <w:t>1</w:t>
      </w:r>
      <w:r w:rsidRPr="00F22649">
        <w:t xml:space="preserve"> </w:t>
      </w:r>
      <w:r w:rsidR="008F1C4E" w:rsidRPr="00F22649">
        <w:t xml:space="preserve">Meeting </w:t>
      </w:r>
      <w:r w:rsidRPr="00F22649">
        <w:t>#</w:t>
      </w:r>
      <w:r w:rsidR="00CE0BF7" w:rsidRPr="00F22649">
        <w:t>9</w:t>
      </w:r>
      <w:r w:rsidR="00360BFB" w:rsidRPr="00F22649">
        <w:t>8</w:t>
      </w:r>
      <w:r w:rsidRPr="00F22649">
        <w:tab/>
      </w:r>
      <w:r w:rsidR="0059085C" w:rsidRPr="0059085C">
        <w:t>R1-1909110</w:t>
      </w:r>
      <w:r w:rsidR="0059085C" w:rsidRPr="0059085C" w:rsidDel="0059085C">
        <w:t xml:space="preserve"> </w:t>
      </w:r>
    </w:p>
    <w:p w14:paraId="25B6506E" w14:textId="4873A277" w:rsidR="00DB3592" w:rsidRPr="00F22649" w:rsidRDefault="00360BFB" w:rsidP="00DB3592">
      <w:pPr>
        <w:pStyle w:val="3GPPHeader"/>
      </w:pPr>
      <w:r w:rsidRPr="00F22649">
        <w:t>Prague</w:t>
      </w:r>
      <w:r w:rsidR="0052454F" w:rsidRPr="00F22649">
        <w:t xml:space="preserve">, </w:t>
      </w:r>
      <w:r w:rsidR="00AF2EE3" w:rsidRPr="00F22649">
        <w:t>Czech Republic</w:t>
      </w:r>
      <w:r w:rsidR="0052454F" w:rsidRPr="00F22649">
        <w:t xml:space="preserve">, </w:t>
      </w:r>
      <w:r w:rsidR="00AF2EE3" w:rsidRPr="00F22649">
        <w:t>26</w:t>
      </w:r>
      <w:r w:rsidR="0052454F" w:rsidRPr="00F22649">
        <w:t xml:space="preserve">th – </w:t>
      </w:r>
      <w:r w:rsidR="00AF2EE3" w:rsidRPr="00F22649">
        <w:t>30</w:t>
      </w:r>
      <w:r w:rsidR="0052454F" w:rsidRPr="00F22649">
        <w:t xml:space="preserve">th </w:t>
      </w:r>
      <w:r w:rsidR="00AF2EE3" w:rsidRPr="00F22649">
        <w:t>August</w:t>
      </w:r>
      <w:r w:rsidR="0052454F" w:rsidRPr="00F22649">
        <w:t xml:space="preserve"> 2019</w:t>
      </w:r>
    </w:p>
    <w:p w14:paraId="60A5317D" w14:textId="77777777" w:rsidR="00E90E49" w:rsidRPr="00F22649" w:rsidRDefault="00E90E49" w:rsidP="00357380">
      <w:pPr>
        <w:pStyle w:val="3GPPHeader"/>
      </w:pPr>
    </w:p>
    <w:p w14:paraId="3C6869D1" w14:textId="22BB4AAF" w:rsidR="00E90E49" w:rsidRPr="00F22649" w:rsidRDefault="00E90E49" w:rsidP="00311702">
      <w:pPr>
        <w:pStyle w:val="3GPPHeader"/>
        <w:rPr>
          <w:sz w:val="22"/>
        </w:rPr>
      </w:pPr>
      <w:r w:rsidRPr="00F22649">
        <w:rPr>
          <w:sz w:val="22"/>
        </w:rPr>
        <w:t>Agenda Item:</w:t>
      </w:r>
      <w:r w:rsidRPr="00F22649">
        <w:rPr>
          <w:sz w:val="22"/>
        </w:rPr>
        <w:tab/>
      </w:r>
      <w:r w:rsidR="00B076E0" w:rsidRPr="00F22649">
        <w:rPr>
          <w:sz w:val="22"/>
        </w:rPr>
        <w:t>7</w:t>
      </w:r>
      <w:r w:rsidR="006500B6" w:rsidRPr="00F22649">
        <w:rPr>
          <w:sz w:val="22"/>
        </w:rPr>
        <w:t>.</w:t>
      </w:r>
      <w:r w:rsidR="00B076E0" w:rsidRPr="00F22649">
        <w:rPr>
          <w:sz w:val="22"/>
        </w:rPr>
        <w:t>2</w:t>
      </w:r>
      <w:r w:rsidR="006500B6" w:rsidRPr="00F22649">
        <w:rPr>
          <w:sz w:val="22"/>
        </w:rPr>
        <w:t>.</w:t>
      </w:r>
      <w:r w:rsidR="00B076E0" w:rsidRPr="00F22649">
        <w:rPr>
          <w:sz w:val="22"/>
        </w:rPr>
        <w:t>5.1</w:t>
      </w:r>
    </w:p>
    <w:p w14:paraId="0CB055DD" w14:textId="77777777" w:rsidR="00E90E49" w:rsidRPr="00F22649" w:rsidRDefault="003D3C45" w:rsidP="00F64C2B">
      <w:pPr>
        <w:pStyle w:val="3GPPHeader"/>
        <w:rPr>
          <w:sz w:val="22"/>
        </w:rPr>
      </w:pPr>
      <w:r w:rsidRPr="00F22649">
        <w:rPr>
          <w:sz w:val="22"/>
        </w:rPr>
        <w:t>Source:</w:t>
      </w:r>
      <w:r w:rsidR="00E90E49" w:rsidRPr="00F22649">
        <w:rPr>
          <w:sz w:val="22"/>
        </w:rPr>
        <w:tab/>
      </w:r>
      <w:r w:rsidR="00F64C2B" w:rsidRPr="00F22649">
        <w:rPr>
          <w:sz w:val="22"/>
        </w:rPr>
        <w:t>Ericsson</w:t>
      </w:r>
    </w:p>
    <w:p w14:paraId="63DAB814" w14:textId="6D10385D" w:rsidR="00E90E49" w:rsidRPr="00F22649" w:rsidRDefault="003D3C45" w:rsidP="00311702">
      <w:pPr>
        <w:pStyle w:val="3GPPHeader"/>
        <w:rPr>
          <w:sz w:val="22"/>
        </w:rPr>
      </w:pPr>
      <w:r w:rsidRPr="00F22649">
        <w:rPr>
          <w:sz w:val="22"/>
        </w:rPr>
        <w:t>Title:</w:t>
      </w:r>
      <w:r w:rsidR="00E90E49" w:rsidRPr="00F22649">
        <w:rPr>
          <w:sz w:val="22"/>
        </w:rPr>
        <w:tab/>
      </w:r>
      <w:r w:rsidR="00B076E0" w:rsidRPr="00F22649">
        <w:rPr>
          <w:sz w:val="22"/>
        </w:rPr>
        <w:t xml:space="preserve">On </w:t>
      </w:r>
      <w:r w:rsidR="007E1C66" w:rsidRPr="00F22649">
        <w:rPr>
          <w:sz w:val="22"/>
        </w:rPr>
        <w:t xml:space="preserve">NTN </w:t>
      </w:r>
      <w:r w:rsidR="00B076E0" w:rsidRPr="00F22649">
        <w:rPr>
          <w:sz w:val="22"/>
        </w:rPr>
        <w:t>link level and system level evaluatio</w:t>
      </w:r>
      <w:bookmarkStart w:id="0" w:name="_GoBack"/>
      <w:bookmarkEnd w:id="0"/>
      <w:r w:rsidR="00B076E0" w:rsidRPr="00F22649">
        <w:rPr>
          <w:sz w:val="22"/>
        </w:rPr>
        <w:t>ns</w:t>
      </w:r>
    </w:p>
    <w:p w14:paraId="76893D37" w14:textId="45681D02" w:rsidR="00E90E49" w:rsidRPr="00F22649" w:rsidRDefault="00E90E49" w:rsidP="000E5128">
      <w:pPr>
        <w:pStyle w:val="3GPPHeader"/>
        <w:rPr>
          <w:sz w:val="22"/>
        </w:rPr>
      </w:pPr>
      <w:r w:rsidRPr="00F22649">
        <w:rPr>
          <w:sz w:val="22"/>
        </w:rPr>
        <w:t>Document for:</w:t>
      </w:r>
      <w:r w:rsidRPr="00F22649">
        <w:rPr>
          <w:sz w:val="22"/>
        </w:rPr>
        <w:tab/>
        <w:t>Discussion</w:t>
      </w:r>
    </w:p>
    <w:p w14:paraId="09FE4FCF" w14:textId="77777777" w:rsidR="00E90E49" w:rsidRPr="00CE0424" w:rsidRDefault="00230D18" w:rsidP="00CE0424">
      <w:pPr>
        <w:pStyle w:val="Heading1"/>
      </w:pPr>
      <w:r>
        <w:t>1</w:t>
      </w:r>
      <w:r>
        <w:tab/>
      </w:r>
      <w:r w:rsidR="00E90E49" w:rsidRPr="00CE0424">
        <w:t>Introduction</w:t>
      </w:r>
    </w:p>
    <w:p w14:paraId="7AC1BBE3" w14:textId="00E7E006" w:rsidR="00A2268A" w:rsidRPr="00F22649" w:rsidRDefault="00A2268A" w:rsidP="000E5128">
      <w:pPr>
        <w:jc w:val="both"/>
        <w:rPr>
          <w:rFonts w:ascii="Arial" w:hAnsi="Arial"/>
          <w:sz w:val="20"/>
          <w:szCs w:val="20"/>
        </w:rPr>
      </w:pPr>
      <w:r w:rsidRPr="00F22649">
        <w:rPr>
          <w:rFonts w:ascii="Arial" w:hAnsi="Arial"/>
          <w:sz w:val="20"/>
          <w:szCs w:val="20"/>
        </w:rPr>
        <w:t>RAN#80 approved a new SI on solutions evaluation for NR to support Non-Terrestrial Network</w:t>
      </w:r>
      <w:r w:rsidR="00E85654" w:rsidRPr="00F22649">
        <w:rPr>
          <w:rFonts w:ascii="Arial" w:hAnsi="Arial"/>
          <w:sz w:val="20"/>
          <w:szCs w:val="20"/>
        </w:rPr>
        <w:t>. The latest version of the SID is given in</w:t>
      </w:r>
      <w:r w:rsidR="00B45E11" w:rsidRPr="00F22649">
        <w:rPr>
          <w:rFonts w:ascii="Arial" w:hAnsi="Arial"/>
          <w:sz w:val="20"/>
          <w:szCs w:val="20"/>
        </w:rPr>
        <w:t xml:space="preserve"> [1]</w:t>
      </w:r>
      <w:r w:rsidR="002B626A" w:rsidRPr="00F22649">
        <w:rPr>
          <w:rFonts w:ascii="Arial" w:hAnsi="Arial"/>
          <w:sz w:val="20"/>
          <w:szCs w:val="20"/>
        </w:rPr>
        <w:t>.</w:t>
      </w:r>
      <w:r w:rsidRPr="00F22649">
        <w:rPr>
          <w:rFonts w:ascii="Arial" w:hAnsi="Arial"/>
          <w:sz w:val="20"/>
          <w:szCs w:val="20"/>
        </w:rPr>
        <w:t xml:space="preserve"> The SI has the following</w:t>
      </w:r>
      <w:r w:rsidR="003C20D7" w:rsidRPr="00F22649">
        <w:rPr>
          <w:rFonts w:ascii="Arial" w:hAnsi="Arial"/>
          <w:sz w:val="20"/>
          <w:szCs w:val="20"/>
        </w:rPr>
        <w:t xml:space="preserve"> RAN1</w:t>
      </w:r>
      <w:r w:rsidRPr="00F22649">
        <w:rPr>
          <w:rFonts w:ascii="Arial" w:hAnsi="Arial"/>
          <w:sz w:val="20"/>
          <w:szCs w:val="20"/>
        </w:rPr>
        <w:t xml:space="preserve"> objectives</w:t>
      </w:r>
      <w:r w:rsidR="00B45E11" w:rsidRPr="00F22649">
        <w:rPr>
          <w:rFonts w:ascii="Arial" w:hAnsi="Arial"/>
          <w:sz w:val="20"/>
          <w:szCs w:val="20"/>
        </w:rPr>
        <w:t xml:space="preserve">. </w:t>
      </w:r>
    </w:p>
    <w:p w14:paraId="4E63BDAC" w14:textId="41E155CD" w:rsidR="00A2268A" w:rsidRDefault="00A2268A" w:rsidP="000E5128">
      <w:pPr>
        <w:jc w:val="both"/>
        <w:rPr>
          <w:rFonts w:ascii="Arial" w:hAnsi="Arial"/>
        </w:rPr>
      </w:pPr>
      <w:r>
        <w:rPr>
          <w:noProof/>
        </w:rPr>
        <mc:AlternateContent>
          <mc:Choice Requires="wps">
            <w:drawing>
              <wp:inline distT="0" distB="0" distL="0" distR="0" wp14:anchorId="43A6EEA9" wp14:editId="49617826">
                <wp:extent cx="6120765" cy="2407920"/>
                <wp:effectExtent l="0" t="0" r="13335" b="11430"/>
                <wp:docPr id="2" name="Text Box 2"/>
                <wp:cNvGraphicFramePr/>
                <a:graphic xmlns:a="http://schemas.openxmlformats.org/drawingml/2006/main">
                  <a:graphicData uri="http://schemas.microsoft.com/office/word/2010/wordprocessingShape">
                    <wps:wsp>
                      <wps:cNvSpPr txBox="1"/>
                      <wps:spPr>
                        <a:xfrm>
                          <a:off x="0" y="0"/>
                          <a:ext cx="6120765" cy="2407920"/>
                        </a:xfrm>
                        <a:prstGeom prst="rect">
                          <a:avLst/>
                        </a:prstGeom>
                        <a:solidFill>
                          <a:schemeClr val="lt1"/>
                        </a:solidFill>
                        <a:ln w="6350">
                          <a:solidFill>
                            <a:prstClr val="black"/>
                          </a:solidFill>
                        </a:ln>
                      </wps:spPr>
                      <wps:txbx>
                        <w:txbxContent>
                          <w:p w14:paraId="160186E5" w14:textId="77777777" w:rsidR="00151BA3" w:rsidRPr="00F22649" w:rsidRDefault="00151BA3" w:rsidP="00A2268A">
                            <w:pPr>
                              <w:rPr>
                                <w:rFonts w:ascii="Arial" w:hAnsi="Arial"/>
                                <w:i/>
                                <w:sz w:val="20"/>
                                <w:szCs w:val="20"/>
                                <w:lang w:eastAsia="x-none"/>
                              </w:rPr>
                            </w:pPr>
                            <w:r w:rsidRPr="00F22649">
                              <w:rPr>
                                <w:rFonts w:ascii="Arial" w:hAnsi="Arial"/>
                                <w:b/>
                                <w:bCs/>
                                <w:i/>
                                <w:iCs/>
                                <w:sz w:val="20"/>
                                <w:szCs w:val="20"/>
                                <w:lang w:eastAsia="x-none"/>
                              </w:rPr>
                              <w:t>Physical layer</w:t>
                            </w:r>
                          </w:p>
                          <w:p w14:paraId="53A0B01F" w14:textId="77777777" w:rsidR="00151BA3" w:rsidRPr="00F22649" w:rsidRDefault="00151BA3" w:rsidP="00A2268A">
                            <w:pPr>
                              <w:rPr>
                                <w:rFonts w:ascii="Arial" w:hAnsi="Arial"/>
                                <w:i/>
                                <w:sz w:val="20"/>
                                <w:szCs w:val="20"/>
                                <w:lang w:eastAsia="x-none"/>
                              </w:rPr>
                            </w:pPr>
                            <w:r w:rsidRPr="00DB3592">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151BA3" w:rsidRPr="00F22649" w:rsidRDefault="00151BA3" w:rsidP="00A4216A">
                            <w:pPr>
                              <w:numPr>
                                <w:ilvl w:val="2"/>
                                <w:numId w:val="14"/>
                              </w:numPr>
                              <w:rPr>
                                <w:rFonts w:ascii="Arial" w:hAnsi="Arial"/>
                                <w:i/>
                                <w:sz w:val="20"/>
                                <w:szCs w:val="20"/>
                                <w:lang w:eastAsia="x-none"/>
                              </w:rPr>
                            </w:pPr>
                            <w:r w:rsidRPr="00F22649">
                              <w:rPr>
                                <w:rFonts w:ascii="Arial" w:hAnsi="Arial"/>
                                <w:i/>
                                <w:sz w:val="20"/>
                                <w:szCs w:val="20"/>
                                <w:lang w:eastAsia="x-none"/>
                              </w:rPr>
                              <w:t>Physical layer control procedures (e.g. CSI feedback, power control)</w:t>
                            </w:r>
                          </w:p>
                          <w:p w14:paraId="25967C27" w14:textId="77777777" w:rsidR="00151BA3" w:rsidRPr="00F22649" w:rsidRDefault="00151BA3" w:rsidP="00A4216A">
                            <w:pPr>
                              <w:numPr>
                                <w:ilvl w:val="2"/>
                                <w:numId w:val="14"/>
                              </w:numPr>
                              <w:rPr>
                                <w:rFonts w:ascii="Arial" w:hAnsi="Arial"/>
                                <w:i/>
                                <w:sz w:val="20"/>
                                <w:szCs w:val="20"/>
                                <w:lang w:eastAsia="x-none"/>
                              </w:rPr>
                            </w:pPr>
                            <w:r w:rsidRPr="00F22649">
                              <w:rPr>
                                <w:rFonts w:ascii="Arial" w:hAnsi="Arial"/>
                                <w:i/>
                                <w:sz w:val="20"/>
                                <w:szCs w:val="20"/>
                                <w:lang w:eastAsia="x-none"/>
                              </w:rPr>
                              <w:t>Uplink Timing advance/RACH procedure including PRACH sequence/format/message</w:t>
                            </w:r>
                          </w:p>
                          <w:p w14:paraId="54708D01" w14:textId="40DCE814" w:rsidR="00151BA3" w:rsidRPr="00F22649" w:rsidRDefault="00151BA3" w:rsidP="00A4216A">
                            <w:pPr>
                              <w:numPr>
                                <w:ilvl w:val="2"/>
                                <w:numId w:val="14"/>
                              </w:numPr>
                              <w:rPr>
                                <w:rFonts w:ascii="Arial" w:hAnsi="Arial"/>
                                <w:i/>
                                <w:sz w:val="20"/>
                                <w:szCs w:val="20"/>
                                <w:lang w:eastAsia="x-none"/>
                              </w:rPr>
                            </w:pPr>
                            <w:r w:rsidRPr="00F22649">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151BA3" w:rsidRPr="00F22649" w:rsidRDefault="00151BA3" w:rsidP="00A2268A">
                            <w:pPr>
                              <w:rPr>
                                <w:rFonts w:ascii="Arial" w:hAnsi="Arial"/>
                                <w:i/>
                                <w:sz w:val="20"/>
                                <w:szCs w:val="20"/>
                                <w:lang w:eastAsia="x-none"/>
                              </w:rPr>
                            </w:pPr>
                            <w:r w:rsidRPr="00F22649">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151BA3" w:rsidRPr="00F22649" w:rsidRDefault="00151BA3"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18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" fillcolor="white [3201]" strokeweight=".5pt">
                <v:textbox>
                  <w:txbxContent>
                    <w:p w14:paraId="160186E5" w14:textId="77777777" w:rsidR="00151BA3" w:rsidRPr="00F22649" w:rsidRDefault="00151BA3" w:rsidP="00A2268A">
                      <w:pPr>
                        <w:rPr>
                          <w:rFonts w:ascii="Arial" w:hAnsi="Arial"/>
                          <w:i/>
                          <w:sz w:val="20"/>
                          <w:szCs w:val="20"/>
                          <w:lang w:eastAsia="x-none"/>
                        </w:rPr>
                      </w:pPr>
                      <w:r w:rsidRPr="00F22649">
                        <w:rPr>
                          <w:rFonts w:ascii="Arial" w:hAnsi="Arial"/>
                          <w:b/>
                          <w:bCs/>
                          <w:i/>
                          <w:iCs/>
                          <w:sz w:val="20"/>
                          <w:szCs w:val="20"/>
                          <w:lang w:eastAsia="x-none"/>
                        </w:rPr>
                        <w:t>Physical layer</w:t>
                      </w:r>
                    </w:p>
                    <w:p w14:paraId="53A0B01F" w14:textId="77777777" w:rsidR="00151BA3" w:rsidRPr="00F22649" w:rsidRDefault="00151BA3" w:rsidP="00A2268A">
                      <w:pPr>
                        <w:rPr>
                          <w:rFonts w:ascii="Arial" w:hAnsi="Arial"/>
                          <w:i/>
                          <w:sz w:val="20"/>
                          <w:szCs w:val="20"/>
                          <w:lang w:eastAsia="x-none"/>
                        </w:rPr>
                      </w:pPr>
                      <w:r w:rsidRPr="00DB3592">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151BA3" w:rsidRPr="00F22649" w:rsidRDefault="00151BA3" w:rsidP="00A4216A">
                      <w:pPr>
                        <w:numPr>
                          <w:ilvl w:val="2"/>
                          <w:numId w:val="14"/>
                        </w:numPr>
                        <w:rPr>
                          <w:rFonts w:ascii="Arial" w:hAnsi="Arial"/>
                          <w:i/>
                          <w:sz w:val="20"/>
                          <w:szCs w:val="20"/>
                          <w:lang w:eastAsia="x-none"/>
                        </w:rPr>
                      </w:pPr>
                      <w:r w:rsidRPr="00F22649">
                        <w:rPr>
                          <w:rFonts w:ascii="Arial" w:hAnsi="Arial"/>
                          <w:i/>
                          <w:sz w:val="20"/>
                          <w:szCs w:val="20"/>
                          <w:lang w:eastAsia="x-none"/>
                        </w:rPr>
                        <w:t>Physical layer control procedures (e.g. CSI feedback, power control)</w:t>
                      </w:r>
                    </w:p>
                    <w:p w14:paraId="25967C27" w14:textId="77777777" w:rsidR="00151BA3" w:rsidRPr="00F22649" w:rsidRDefault="00151BA3" w:rsidP="00A4216A">
                      <w:pPr>
                        <w:numPr>
                          <w:ilvl w:val="2"/>
                          <w:numId w:val="14"/>
                        </w:numPr>
                        <w:rPr>
                          <w:rFonts w:ascii="Arial" w:hAnsi="Arial"/>
                          <w:i/>
                          <w:sz w:val="20"/>
                          <w:szCs w:val="20"/>
                          <w:lang w:eastAsia="x-none"/>
                        </w:rPr>
                      </w:pPr>
                      <w:r w:rsidRPr="00F22649">
                        <w:rPr>
                          <w:rFonts w:ascii="Arial" w:hAnsi="Arial"/>
                          <w:i/>
                          <w:sz w:val="20"/>
                          <w:szCs w:val="20"/>
                          <w:lang w:eastAsia="x-none"/>
                        </w:rPr>
                        <w:t>Uplink Timing advance/RACH procedure including PRACH sequence/format/message</w:t>
                      </w:r>
                    </w:p>
                    <w:p w14:paraId="54708D01" w14:textId="40DCE814" w:rsidR="00151BA3" w:rsidRPr="00F22649" w:rsidRDefault="00151BA3" w:rsidP="00A4216A">
                      <w:pPr>
                        <w:numPr>
                          <w:ilvl w:val="2"/>
                          <w:numId w:val="14"/>
                        </w:numPr>
                        <w:rPr>
                          <w:rFonts w:ascii="Arial" w:hAnsi="Arial"/>
                          <w:i/>
                          <w:sz w:val="20"/>
                          <w:szCs w:val="20"/>
                          <w:lang w:eastAsia="x-none"/>
                        </w:rPr>
                      </w:pPr>
                      <w:r w:rsidRPr="00F22649">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151BA3" w:rsidRPr="00F22649" w:rsidRDefault="00151BA3" w:rsidP="00A2268A">
                      <w:pPr>
                        <w:rPr>
                          <w:rFonts w:ascii="Arial" w:hAnsi="Arial"/>
                          <w:i/>
                          <w:sz w:val="20"/>
                          <w:szCs w:val="20"/>
                          <w:lang w:eastAsia="x-none"/>
                        </w:rPr>
                      </w:pPr>
                      <w:r w:rsidRPr="00F22649">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151BA3" w:rsidRPr="00F22649" w:rsidRDefault="00151BA3" w:rsidP="00A2268A">
                      <w:pPr>
                        <w:rPr>
                          <w:sz w:val="20"/>
                          <w:szCs w:val="20"/>
                        </w:rPr>
                      </w:pPr>
                    </w:p>
                  </w:txbxContent>
                </v:textbox>
                <w10:anchorlock/>
              </v:shape>
            </w:pict>
          </mc:Fallback>
        </mc:AlternateContent>
      </w:r>
    </w:p>
    <w:p w14:paraId="644AC52F" w14:textId="0B74C189" w:rsidR="00A2268A" w:rsidRPr="00F22649" w:rsidRDefault="007234F1" w:rsidP="000E5128">
      <w:pPr>
        <w:jc w:val="both"/>
        <w:rPr>
          <w:rFonts w:ascii="Arial" w:hAnsi="Arial"/>
          <w:sz w:val="20"/>
          <w:szCs w:val="20"/>
        </w:rPr>
      </w:pPr>
      <w:r w:rsidRPr="00F22649">
        <w:rPr>
          <w:rFonts w:ascii="Arial" w:hAnsi="Arial"/>
          <w:sz w:val="20"/>
          <w:szCs w:val="20"/>
        </w:rPr>
        <w:t>Many evaluation assumptions were agreed in</w:t>
      </w:r>
      <w:r w:rsidR="00232DC9" w:rsidRPr="00F22649">
        <w:rPr>
          <w:rFonts w:ascii="Arial" w:hAnsi="Arial"/>
          <w:sz w:val="20"/>
          <w:szCs w:val="20"/>
        </w:rPr>
        <w:t xml:space="preserve"> </w:t>
      </w:r>
      <w:r w:rsidRPr="00F22649">
        <w:rPr>
          <w:rFonts w:ascii="Arial" w:hAnsi="Arial"/>
          <w:sz w:val="20"/>
          <w:szCs w:val="20"/>
        </w:rPr>
        <w:t xml:space="preserve">RAN1#96bis </w:t>
      </w:r>
      <w:r w:rsidR="00232DC9" w:rsidRPr="00F22649">
        <w:rPr>
          <w:rFonts w:ascii="Arial" w:hAnsi="Arial"/>
          <w:sz w:val="20"/>
          <w:szCs w:val="20"/>
        </w:rPr>
        <w:t>and RAN1#97 and have been captured in the latest version of 3GPP TR 38</w:t>
      </w:r>
      <w:r w:rsidR="0086049E" w:rsidRPr="00F22649">
        <w:rPr>
          <w:rFonts w:ascii="Arial" w:hAnsi="Arial"/>
          <w:sz w:val="20"/>
          <w:szCs w:val="20"/>
        </w:rPr>
        <w:t xml:space="preserve">.821. </w:t>
      </w:r>
      <w:r w:rsidR="00A2268A" w:rsidRPr="00F22649">
        <w:rPr>
          <w:rFonts w:ascii="Arial" w:hAnsi="Arial"/>
          <w:sz w:val="20"/>
          <w:szCs w:val="20"/>
        </w:rPr>
        <w:t xml:space="preserve">In this contribution, we </w:t>
      </w:r>
      <w:r w:rsidR="00B076E0" w:rsidRPr="00F22649">
        <w:rPr>
          <w:rFonts w:ascii="Arial" w:hAnsi="Arial"/>
          <w:sz w:val="20"/>
          <w:szCs w:val="20"/>
        </w:rPr>
        <w:t xml:space="preserve">discuss </w:t>
      </w:r>
      <w:r w:rsidR="001B15CB" w:rsidRPr="00F22649">
        <w:rPr>
          <w:rFonts w:ascii="Arial" w:hAnsi="Arial"/>
          <w:sz w:val="20"/>
          <w:szCs w:val="20"/>
        </w:rPr>
        <w:t xml:space="preserve">the </w:t>
      </w:r>
      <w:r w:rsidR="002A2433" w:rsidRPr="00F22649">
        <w:rPr>
          <w:rFonts w:ascii="Arial" w:hAnsi="Arial"/>
          <w:sz w:val="20"/>
          <w:szCs w:val="20"/>
        </w:rPr>
        <w:t>remaining issues of</w:t>
      </w:r>
      <w:r w:rsidR="001B15CB" w:rsidRPr="00F22649">
        <w:rPr>
          <w:rFonts w:ascii="Arial" w:hAnsi="Arial"/>
          <w:sz w:val="20"/>
          <w:szCs w:val="20"/>
        </w:rPr>
        <w:t xml:space="preserve"> </w:t>
      </w:r>
      <w:r w:rsidR="00B076E0" w:rsidRPr="00F22649">
        <w:rPr>
          <w:rFonts w:ascii="Arial" w:hAnsi="Arial"/>
          <w:sz w:val="20"/>
          <w:szCs w:val="20"/>
        </w:rPr>
        <w:t>NTN link level and system level evaluations</w:t>
      </w:r>
      <w:r w:rsidR="001B15CB" w:rsidRPr="00F22649">
        <w:rPr>
          <w:rFonts w:ascii="Arial" w:hAnsi="Arial"/>
          <w:sz w:val="20"/>
          <w:szCs w:val="20"/>
        </w:rPr>
        <w:t>.</w:t>
      </w:r>
      <w:r w:rsidR="00B076E0" w:rsidRPr="00F22649">
        <w:rPr>
          <w:rFonts w:ascii="Arial" w:hAnsi="Arial"/>
          <w:sz w:val="20"/>
          <w:szCs w:val="20"/>
        </w:rPr>
        <w:t xml:space="preserve"> </w:t>
      </w:r>
    </w:p>
    <w:p w14:paraId="463E4BBA" w14:textId="2083ECCC" w:rsidR="00A1311D" w:rsidRDefault="00F7378F" w:rsidP="00A1311D">
      <w:pPr>
        <w:pStyle w:val="Heading1"/>
        <w:numPr>
          <w:ilvl w:val="0"/>
          <w:numId w:val="15"/>
        </w:numPr>
      </w:pPr>
      <w:r>
        <w:t>Remaining details on evaluation assumptions</w:t>
      </w:r>
    </w:p>
    <w:p w14:paraId="539C45B3" w14:textId="7F49EB41" w:rsidR="00926E1E" w:rsidRPr="00926E1E" w:rsidRDefault="00926E1E" w:rsidP="00926E1E">
      <w:pPr>
        <w:pStyle w:val="Heading2"/>
      </w:pPr>
      <w:r>
        <w:t>2.1</w:t>
      </w:r>
      <w:r>
        <w:tab/>
      </w:r>
      <w:r w:rsidRPr="00926E1E">
        <w:t>Architecture options and use cases</w:t>
      </w:r>
    </w:p>
    <w:p w14:paraId="482BDD16" w14:textId="467CFD74" w:rsidR="00926E1E" w:rsidRPr="00F22649" w:rsidRDefault="00926E1E" w:rsidP="00926E1E">
      <w:pPr>
        <w:pStyle w:val="BodyText"/>
        <w:rPr>
          <w:sz w:val="20"/>
          <w:szCs w:val="20"/>
        </w:rPr>
      </w:pPr>
      <w:r w:rsidRPr="00F22649">
        <w:rPr>
          <w:sz w:val="20"/>
          <w:szCs w:val="20"/>
        </w:rPr>
        <w:t xml:space="preserve">Depending on the functionality of the satellite in the system, we can consider two transponder options: bent-pipe/transparent transponder and regenerative transponder. </w:t>
      </w:r>
    </w:p>
    <w:p w14:paraId="49B38573" w14:textId="77777777" w:rsidR="00E66FB1" w:rsidRPr="00F22649" w:rsidRDefault="00926E1E" w:rsidP="00926E1E">
      <w:pPr>
        <w:pStyle w:val="BodyText"/>
        <w:rPr>
          <w:sz w:val="20"/>
          <w:szCs w:val="20"/>
        </w:rPr>
      </w:pPr>
      <w:r w:rsidRPr="00F22649">
        <w:rPr>
          <w:sz w:val="20"/>
          <w:szCs w:val="20"/>
        </w:rPr>
        <w:t>Considering the limited time in Rel-16 NTN study in RAN1, we propose to prioritize bent-pipe/transparent architecture and consider regenerative architecture as second priority in Release-16 NTN evaluation.</w:t>
      </w:r>
      <w:r w:rsidR="00CF1EC1" w:rsidRPr="00F22649">
        <w:rPr>
          <w:sz w:val="20"/>
          <w:szCs w:val="20"/>
        </w:rPr>
        <w:t xml:space="preserve"> </w:t>
      </w:r>
      <w:r w:rsidR="00E66FB1" w:rsidRPr="00F22649">
        <w:rPr>
          <w:sz w:val="20"/>
          <w:szCs w:val="20"/>
        </w:rPr>
        <w:t>There are also several technical reasons why it is desirable to prioritize transparent over regenerative:</w:t>
      </w:r>
    </w:p>
    <w:p w14:paraId="7D0D350A" w14:textId="462DB94E" w:rsidR="00E66FB1" w:rsidRPr="00121032" w:rsidRDefault="00E66FB1" w:rsidP="001123A7">
      <w:pPr>
        <w:pStyle w:val="BodyText"/>
        <w:numPr>
          <w:ilvl w:val="0"/>
          <w:numId w:val="30"/>
        </w:numPr>
        <w:rPr>
          <w:sz w:val="20"/>
          <w:szCs w:val="20"/>
        </w:rPr>
      </w:pPr>
      <w:r w:rsidRPr="001A0440">
        <w:rPr>
          <w:sz w:val="20"/>
          <w:szCs w:val="20"/>
        </w:rPr>
        <w:t>Transparent payloads are less complex and costly compared to regenerative</w:t>
      </w:r>
      <w:r w:rsidR="00CF1EC1" w:rsidRPr="001A0440">
        <w:rPr>
          <w:sz w:val="20"/>
          <w:szCs w:val="20"/>
        </w:rPr>
        <w:t xml:space="preserve"> payloads.</w:t>
      </w:r>
    </w:p>
    <w:p w14:paraId="55CD68D6" w14:textId="5E9470ED" w:rsidR="00926E1E" w:rsidRPr="00121032" w:rsidRDefault="00E66FB1" w:rsidP="00E66FB1">
      <w:pPr>
        <w:pStyle w:val="BodyText"/>
        <w:numPr>
          <w:ilvl w:val="0"/>
          <w:numId w:val="30"/>
        </w:numPr>
        <w:rPr>
          <w:sz w:val="20"/>
          <w:szCs w:val="20"/>
        </w:rPr>
      </w:pPr>
      <w:r w:rsidRPr="00121032">
        <w:rPr>
          <w:sz w:val="20"/>
          <w:szCs w:val="20"/>
        </w:rPr>
        <w:t>With transparent payloads, all gNB functionality resides on the ground, making it easier to build, test, and integrate with terrestrial 5G networks.</w:t>
      </w:r>
    </w:p>
    <w:p w14:paraId="5BD9D198" w14:textId="77777777" w:rsidR="00E66FB1" w:rsidRPr="00987A1F" w:rsidRDefault="00E66FB1" w:rsidP="00E66FB1">
      <w:pPr>
        <w:pStyle w:val="BodyText"/>
        <w:numPr>
          <w:ilvl w:val="0"/>
          <w:numId w:val="30"/>
        </w:numPr>
        <w:rPr>
          <w:sz w:val="20"/>
          <w:szCs w:val="20"/>
        </w:rPr>
      </w:pPr>
      <w:r w:rsidRPr="00121032">
        <w:rPr>
          <w:sz w:val="20"/>
          <w:szCs w:val="20"/>
        </w:rPr>
        <w:lastRenderedPageBreak/>
        <w:t>With transparent payloads, the terrestrial gNB is more accessible and less expensive to upgrade or modify t</w:t>
      </w:r>
      <w:r w:rsidRPr="00987A1F">
        <w:rPr>
          <w:sz w:val="20"/>
          <w:szCs w:val="20"/>
        </w:rPr>
        <w:t xml:space="preserve">o support new NR features introduced in later releases. </w:t>
      </w:r>
    </w:p>
    <w:p w14:paraId="303EB078" w14:textId="0D4C1462" w:rsidR="00D85D10" w:rsidRPr="00776A0C" w:rsidRDefault="00E66FB1" w:rsidP="00D85D10">
      <w:pPr>
        <w:pStyle w:val="BodyText"/>
        <w:numPr>
          <w:ilvl w:val="0"/>
          <w:numId w:val="30"/>
        </w:numPr>
        <w:rPr>
          <w:sz w:val="20"/>
          <w:szCs w:val="20"/>
        </w:rPr>
      </w:pPr>
      <w:r w:rsidRPr="00987A1F">
        <w:rPr>
          <w:sz w:val="20"/>
          <w:szCs w:val="20"/>
        </w:rPr>
        <w:t>With transparent payloads, fix or improvement requiring hardware change/modification does not require replacement of satellites.</w:t>
      </w:r>
      <w:r w:rsidR="00B8106C" w:rsidRPr="00776A0C">
        <w:rPr>
          <w:sz w:val="20"/>
          <w:szCs w:val="20"/>
        </w:rPr>
        <w:t xml:space="preserve"> </w:t>
      </w:r>
    </w:p>
    <w:p w14:paraId="3AB6B8B0" w14:textId="4064EBE0" w:rsidR="00D85D10" w:rsidRPr="008F4B54" w:rsidRDefault="00D85D10" w:rsidP="00D85D10">
      <w:pPr>
        <w:pStyle w:val="BodyText"/>
        <w:numPr>
          <w:ilvl w:val="0"/>
          <w:numId w:val="30"/>
        </w:numPr>
        <w:rPr>
          <w:sz w:val="20"/>
          <w:szCs w:val="20"/>
        </w:rPr>
      </w:pPr>
      <w:r w:rsidRPr="008F4B54">
        <w:rPr>
          <w:sz w:val="20"/>
          <w:szCs w:val="20"/>
        </w:rPr>
        <w:t xml:space="preserve">The time to market will be reduced since already deployed </w:t>
      </w:r>
      <w:r w:rsidR="00AB21D7" w:rsidRPr="008F4B54">
        <w:rPr>
          <w:sz w:val="20"/>
          <w:szCs w:val="20"/>
        </w:rPr>
        <w:t>transparent payload satellites can be upgraded to support 5G.</w:t>
      </w:r>
    </w:p>
    <w:p w14:paraId="354C7E59" w14:textId="55659136" w:rsidR="00B8106C" w:rsidRPr="008F4B54" w:rsidRDefault="003C7814" w:rsidP="00B8106C">
      <w:pPr>
        <w:pStyle w:val="BodyText"/>
        <w:rPr>
          <w:sz w:val="20"/>
          <w:szCs w:val="20"/>
        </w:rPr>
      </w:pPr>
      <w:r w:rsidRPr="008F4B54">
        <w:rPr>
          <w:sz w:val="20"/>
          <w:szCs w:val="20"/>
        </w:rPr>
        <w:t>Note that RAN3 concluded that “There are no showstoppers to support any identified architecture options” and recommended GEO transparent and LEO regenerative for normative phase. Our understanding of this recommendation is that LEO transparent will be supported automatically if GEO transparent and LEO regenerative are to be supported</w:t>
      </w:r>
      <w:r w:rsidR="00CF1EA4">
        <w:rPr>
          <w:sz w:val="20"/>
          <w:szCs w:val="20"/>
        </w:rPr>
        <w:t xml:space="preserve"> by RAN3</w:t>
      </w:r>
      <w:r w:rsidRPr="008F4B54">
        <w:rPr>
          <w:sz w:val="20"/>
          <w:szCs w:val="20"/>
        </w:rPr>
        <w:t>, i.e., no additional normative work would be required to additionally support LEO transparent from architecture perspective. In summary we believe that the above listed advantages for the transparent payload outweighs the architectural considerations RAN3 made when recommending the regenerative architecture for LEO.</w:t>
      </w:r>
    </w:p>
    <w:p w14:paraId="443BBD66" w14:textId="5441C2F8" w:rsidR="00926E1E" w:rsidRPr="00F22649" w:rsidRDefault="00926E1E" w:rsidP="00926E1E">
      <w:pPr>
        <w:pStyle w:val="Proposal"/>
        <w:rPr>
          <w:sz w:val="20"/>
          <w:szCs w:val="20"/>
        </w:rPr>
      </w:pPr>
      <w:bookmarkStart w:id="1" w:name="_Toc7784596"/>
      <w:bookmarkStart w:id="2" w:name="_Toc16839624"/>
      <w:r w:rsidRPr="008F4B54">
        <w:rPr>
          <w:sz w:val="20"/>
          <w:szCs w:val="20"/>
        </w:rPr>
        <w:t>RAN1 to prioritize LEO bent-pipe/transparent architecture and consider regenerative architecture as second priority in Release-16 NTN evaluation.</w:t>
      </w:r>
      <w:bookmarkEnd w:id="1"/>
      <w:bookmarkEnd w:id="2"/>
    </w:p>
    <w:p w14:paraId="42DDBBDC" w14:textId="77777777" w:rsidR="00926E1E" w:rsidRPr="001A0440" w:rsidRDefault="00926E1E" w:rsidP="00926E1E">
      <w:pPr>
        <w:jc w:val="both"/>
        <w:rPr>
          <w:rFonts w:ascii="Arial" w:hAnsi="Arial" w:cs="Arial"/>
          <w:sz w:val="20"/>
          <w:szCs w:val="20"/>
        </w:rPr>
      </w:pPr>
      <w:r w:rsidRPr="00F22649">
        <w:rPr>
          <w:rFonts w:ascii="Arial" w:hAnsi="Arial" w:cs="Arial"/>
          <w:sz w:val="20"/>
          <w:szCs w:val="20"/>
        </w:rPr>
        <w:t>LTE-M and NB-IoT are considered as 5G technologies for supporting massive MTC, while eMBB and URLLC are the focused use cases in Rel-15/16 NR. It is questionable that NTN can meet the requirements of URLLC due to the inherent propagation delay in the system. Given these, we believe that Rel-16 NTN should focus on eMBB, fixed wireless and backh</w:t>
      </w:r>
      <w:r w:rsidRPr="001A0440">
        <w:rPr>
          <w:rFonts w:ascii="Arial" w:hAnsi="Arial" w:cs="Arial"/>
          <w:sz w:val="20"/>
          <w:szCs w:val="20"/>
        </w:rPr>
        <w:t>auling. Prioritizing these use cases would facilitate efficient execution of the Rel-16 NTN SI.</w:t>
      </w:r>
      <w:r w:rsidRPr="001A0440">
        <w:rPr>
          <w:rFonts w:ascii="Arial" w:hAnsi="Arial" w:cs="Arial"/>
          <w:lang w:eastAsia="ja-JP"/>
        </w:rPr>
        <w:t xml:space="preserve"> </w:t>
      </w:r>
    </w:p>
    <w:p w14:paraId="00201BF7" w14:textId="6482ADA5" w:rsidR="00926E1E" w:rsidRPr="00121032" w:rsidRDefault="00926E1E" w:rsidP="00926E1E">
      <w:pPr>
        <w:pStyle w:val="Proposal"/>
        <w:rPr>
          <w:sz w:val="20"/>
          <w:szCs w:val="20"/>
        </w:rPr>
      </w:pPr>
      <w:bookmarkStart w:id="3" w:name="_Toc7784597"/>
      <w:bookmarkStart w:id="4" w:name="_Toc16839625"/>
      <w:r w:rsidRPr="001A0440">
        <w:rPr>
          <w:sz w:val="20"/>
          <w:szCs w:val="20"/>
        </w:rPr>
        <w:t>RAN1 to prioritize the use cases of eMBB, fixed wireless and backhauling in Rel-16 NTN.</w:t>
      </w:r>
      <w:bookmarkEnd w:id="3"/>
      <w:bookmarkEnd w:id="4"/>
    </w:p>
    <w:p w14:paraId="59A0B9A6" w14:textId="052E3D9A" w:rsidR="00AF2EE3" w:rsidRDefault="00240BB4" w:rsidP="00F7378F">
      <w:pPr>
        <w:pStyle w:val="Heading2"/>
      </w:pPr>
      <w:r>
        <w:t>2.</w:t>
      </w:r>
      <w:r w:rsidR="00926E1E">
        <w:t>2</w:t>
      </w:r>
      <w:r>
        <w:tab/>
      </w:r>
      <w:r w:rsidR="00F7378F">
        <w:t>Phase noise model</w:t>
      </w:r>
    </w:p>
    <w:p w14:paraId="1290F898" w14:textId="77777777" w:rsidR="004F5941" w:rsidRPr="00776A0C" w:rsidRDefault="00A95D4D" w:rsidP="00980369">
      <w:pPr>
        <w:jc w:val="both"/>
        <w:rPr>
          <w:rFonts w:ascii="Arial" w:hAnsi="Arial"/>
          <w:sz w:val="20"/>
          <w:szCs w:val="20"/>
        </w:rPr>
      </w:pPr>
      <w:r w:rsidRPr="00F22649">
        <w:rPr>
          <w:rFonts w:ascii="Arial" w:hAnsi="Arial"/>
          <w:sz w:val="20"/>
          <w:szCs w:val="20"/>
        </w:rPr>
        <w:t>NTN study involves operation in Ka band</w:t>
      </w:r>
      <w:r w:rsidR="002A0588" w:rsidRPr="00F22649">
        <w:rPr>
          <w:rFonts w:ascii="Arial" w:hAnsi="Arial"/>
          <w:sz w:val="20"/>
          <w:szCs w:val="20"/>
        </w:rPr>
        <w:t xml:space="preserve">, which </w:t>
      </w:r>
      <w:r w:rsidR="00980369" w:rsidRPr="00F22649">
        <w:rPr>
          <w:rFonts w:ascii="Arial" w:hAnsi="Arial"/>
          <w:sz w:val="20"/>
          <w:szCs w:val="20"/>
        </w:rPr>
        <w:t>is</w:t>
      </w:r>
      <w:r w:rsidR="002A0588" w:rsidRPr="00F22649">
        <w:rPr>
          <w:rFonts w:ascii="Arial" w:hAnsi="Arial"/>
          <w:sz w:val="20"/>
          <w:szCs w:val="20"/>
        </w:rPr>
        <w:t xml:space="preserve"> in mm-wave frequencies</w:t>
      </w:r>
      <w:r w:rsidR="00980369" w:rsidRPr="00F22649">
        <w:rPr>
          <w:rFonts w:ascii="Arial" w:hAnsi="Arial"/>
          <w:sz w:val="20"/>
          <w:szCs w:val="20"/>
        </w:rPr>
        <w:t>. Phase noise</w:t>
      </w:r>
      <w:r w:rsidR="008A6343" w:rsidRPr="00F22649">
        <w:rPr>
          <w:rFonts w:ascii="Arial" w:hAnsi="Arial"/>
          <w:sz w:val="20"/>
          <w:szCs w:val="20"/>
        </w:rPr>
        <w:t xml:space="preserve"> (PN)</w:t>
      </w:r>
      <w:r w:rsidR="00980369" w:rsidRPr="00F22649">
        <w:rPr>
          <w:rFonts w:ascii="Arial" w:hAnsi="Arial"/>
          <w:sz w:val="20"/>
          <w:szCs w:val="20"/>
        </w:rPr>
        <w:t xml:space="preserve"> is</w:t>
      </w:r>
      <w:r w:rsidR="00CE45CD" w:rsidRPr="00F22649">
        <w:rPr>
          <w:rFonts w:ascii="Arial" w:hAnsi="Arial"/>
          <w:sz w:val="20"/>
          <w:szCs w:val="20"/>
        </w:rPr>
        <w:t xml:space="preserve"> an important </w:t>
      </w:r>
      <w:r w:rsidR="00DD1DA5" w:rsidRPr="001A0440">
        <w:rPr>
          <w:rFonts w:ascii="Arial" w:hAnsi="Arial"/>
          <w:sz w:val="20"/>
          <w:szCs w:val="20"/>
        </w:rPr>
        <w:t>effect</w:t>
      </w:r>
      <w:r w:rsidR="00CE45CD" w:rsidRPr="001A0440">
        <w:rPr>
          <w:rFonts w:ascii="Arial" w:hAnsi="Arial"/>
          <w:sz w:val="20"/>
          <w:szCs w:val="20"/>
        </w:rPr>
        <w:t xml:space="preserve"> in mm-wave </w:t>
      </w:r>
      <w:r w:rsidR="00DD1DA5" w:rsidRPr="001A0440">
        <w:rPr>
          <w:rFonts w:ascii="Arial" w:hAnsi="Arial"/>
          <w:sz w:val="20"/>
          <w:szCs w:val="20"/>
        </w:rPr>
        <w:t>frequencies</w:t>
      </w:r>
      <w:r w:rsidR="00CE45CD" w:rsidRPr="001A0440">
        <w:rPr>
          <w:rFonts w:ascii="Arial" w:hAnsi="Arial"/>
          <w:sz w:val="20"/>
          <w:szCs w:val="20"/>
        </w:rPr>
        <w:t xml:space="preserve">. </w:t>
      </w:r>
      <w:r w:rsidR="00A4213D" w:rsidRPr="001A0440">
        <w:rPr>
          <w:rFonts w:ascii="Arial" w:hAnsi="Arial"/>
          <w:sz w:val="20"/>
          <w:szCs w:val="20"/>
        </w:rPr>
        <w:t>P</w:t>
      </w:r>
      <w:r w:rsidR="008A6343" w:rsidRPr="00121032">
        <w:rPr>
          <w:rFonts w:ascii="Arial" w:hAnsi="Arial"/>
          <w:sz w:val="20"/>
          <w:szCs w:val="20"/>
        </w:rPr>
        <w:t>N</w:t>
      </w:r>
      <w:r w:rsidR="00A4213D" w:rsidRPr="00121032">
        <w:rPr>
          <w:rFonts w:ascii="Arial" w:hAnsi="Arial"/>
          <w:sz w:val="20"/>
          <w:szCs w:val="20"/>
        </w:rPr>
        <w:t xml:space="preserve"> model has been extensively discussed in 3GPP for studying NR in mm-wave frequencies. </w:t>
      </w:r>
      <w:r w:rsidR="003D0B64" w:rsidRPr="00121032">
        <w:rPr>
          <w:rFonts w:ascii="Arial" w:hAnsi="Arial"/>
          <w:sz w:val="20"/>
          <w:szCs w:val="20"/>
        </w:rPr>
        <w:t xml:space="preserve">PN model heavily depends on the assumptions on </w:t>
      </w:r>
      <w:r w:rsidR="003F5872" w:rsidRPr="00121032">
        <w:rPr>
          <w:rFonts w:ascii="Arial" w:hAnsi="Arial"/>
          <w:sz w:val="20"/>
          <w:szCs w:val="20"/>
        </w:rPr>
        <w:t>the VCO and PLL performance and limitations for mm-wave frequencies</w:t>
      </w:r>
      <w:r w:rsidR="00D308C9" w:rsidRPr="00121032">
        <w:rPr>
          <w:rFonts w:ascii="Arial" w:hAnsi="Arial"/>
          <w:sz w:val="20"/>
          <w:szCs w:val="20"/>
        </w:rPr>
        <w:t>. The assumptions can be quite different</w:t>
      </w:r>
      <w:r w:rsidR="003F5872" w:rsidRPr="00121032">
        <w:rPr>
          <w:rFonts w:ascii="Arial" w:hAnsi="Arial"/>
          <w:sz w:val="20"/>
          <w:szCs w:val="20"/>
        </w:rPr>
        <w:t xml:space="preserve"> for different t</w:t>
      </w:r>
      <w:r w:rsidR="003F5872" w:rsidRPr="0062014D">
        <w:rPr>
          <w:rFonts w:ascii="Arial" w:hAnsi="Arial"/>
          <w:sz w:val="20"/>
          <w:szCs w:val="20"/>
        </w:rPr>
        <w:t>echnologies</w:t>
      </w:r>
      <w:r w:rsidR="00D308C9" w:rsidRPr="00987A1F">
        <w:rPr>
          <w:rFonts w:ascii="Arial" w:hAnsi="Arial"/>
          <w:sz w:val="20"/>
          <w:szCs w:val="20"/>
        </w:rPr>
        <w:t xml:space="preserve">. </w:t>
      </w:r>
      <w:r w:rsidR="00733C4D" w:rsidRPr="00987A1F">
        <w:rPr>
          <w:rFonts w:ascii="Arial" w:hAnsi="Arial"/>
          <w:sz w:val="20"/>
          <w:szCs w:val="20"/>
        </w:rPr>
        <w:t xml:space="preserve">Thus, it is difficult to have one universal model that </w:t>
      </w:r>
      <w:r w:rsidR="004F5941" w:rsidRPr="00776A0C">
        <w:rPr>
          <w:rFonts w:ascii="Arial" w:hAnsi="Arial"/>
          <w:sz w:val="20"/>
          <w:szCs w:val="20"/>
        </w:rPr>
        <w:t>works for different technologies.</w:t>
      </w:r>
    </w:p>
    <w:p w14:paraId="3C0B92BC" w14:textId="23D75BE2" w:rsidR="00117814" w:rsidRPr="008F4B54" w:rsidRDefault="004F5941" w:rsidP="001A5A7B">
      <w:pPr>
        <w:jc w:val="both"/>
        <w:rPr>
          <w:rFonts w:ascii="Arial" w:hAnsi="Arial"/>
          <w:sz w:val="20"/>
          <w:szCs w:val="20"/>
        </w:rPr>
      </w:pPr>
      <w:r w:rsidRPr="008F4B54">
        <w:rPr>
          <w:rFonts w:ascii="Arial" w:hAnsi="Arial"/>
          <w:sz w:val="20"/>
          <w:szCs w:val="20"/>
        </w:rPr>
        <w:t xml:space="preserve">In TR 38.803, Study on new radio access technology: Radio Frequency (RF) and co-existence aspects, there are two </w:t>
      </w:r>
      <w:r w:rsidR="00357806" w:rsidRPr="008F4B54">
        <w:rPr>
          <w:rFonts w:ascii="Arial" w:hAnsi="Arial"/>
          <w:sz w:val="20"/>
          <w:szCs w:val="20"/>
        </w:rPr>
        <w:t xml:space="preserve">example </w:t>
      </w:r>
      <w:r w:rsidR="00E64C77" w:rsidRPr="008F4B54">
        <w:rPr>
          <w:rFonts w:ascii="Arial" w:hAnsi="Arial"/>
          <w:sz w:val="20"/>
          <w:szCs w:val="20"/>
        </w:rPr>
        <w:t>PN</w:t>
      </w:r>
      <w:r w:rsidRPr="008F4B54">
        <w:rPr>
          <w:rFonts w:ascii="Arial" w:hAnsi="Arial"/>
          <w:sz w:val="20"/>
          <w:szCs w:val="20"/>
        </w:rPr>
        <w:t xml:space="preserve"> models</w:t>
      </w:r>
      <w:r w:rsidR="00B3791E" w:rsidRPr="008F4B54">
        <w:rPr>
          <w:rFonts w:ascii="Arial" w:hAnsi="Arial"/>
          <w:sz w:val="20"/>
          <w:szCs w:val="20"/>
        </w:rPr>
        <w:t xml:space="preserve"> presented</w:t>
      </w:r>
      <w:r w:rsidRPr="008F4B54">
        <w:rPr>
          <w:rFonts w:ascii="Arial" w:hAnsi="Arial"/>
          <w:sz w:val="20"/>
          <w:szCs w:val="20"/>
        </w:rPr>
        <w:t xml:space="preserve"> in</w:t>
      </w:r>
      <w:r w:rsidR="00184BC0" w:rsidRPr="008F4B54">
        <w:rPr>
          <w:rFonts w:ascii="Arial" w:hAnsi="Arial"/>
          <w:sz w:val="20"/>
          <w:szCs w:val="20"/>
        </w:rPr>
        <w:t xml:space="preserve"> Sections</w:t>
      </w:r>
      <w:r w:rsidRPr="008F4B54">
        <w:rPr>
          <w:rFonts w:ascii="Arial" w:hAnsi="Arial"/>
          <w:sz w:val="20"/>
          <w:szCs w:val="20"/>
        </w:rPr>
        <w:t xml:space="preserve"> 6.1.10 and</w:t>
      </w:r>
      <w:r w:rsidR="00184BC0" w:rsidRPr="008F4B54">
        <w:rPr>
          <w:rFonts w:ascii="Arial" w:hAnsi="Arial"/>
          <w:sz w:val="20"/>
          <w:szCs w:val="20"/>
        </w:rPr>
        <w:t xml:space="preserve"> </w:t>
      </w:r>
      <w:r w:rsidRPr="008F4B54">
        <w:rPr>
          <w:rFonts w:ascii="Arial" w:hAnsi="Arial"/>
          <w:sz w:val="20"/>
          <w:szCs w:val="20"/>
        </w:rPr>
        <w:t>6.1.11</w:t>
      </w:r>
      <w:r w:rsidR="00B3791E" w:rsidRPr="008F4B54">
        <w:rPr>
          <w:rFonts w:ascii="Arial" w:hAnsi="Arial"/>
          <w:sz w:val="20"/>
          <w:szCs w:val="20"/>
        </w:rPr>
        <w:t>, respectively</w:t>
      </w:r>
      <w:r w:rsidR="00184BC0" w:rsidRPr="008F4B54">
        <w:rPr>
          <w:rFonts w:ascii="Arial" w:hAnsi="Arial"/>
          <w:sz w:val="20"/>
          <w:szCs w:val="20"/>
        </w:rPr>
        <w:t>.</w:t>
      </w:r>
      <w:r w:rsidR="00B3791E" w:rsidRPr="008F4B54">
        <w:rPr>
          <w:rFonts w:ascii="Arial" w:hAnsi="Arial"/>
          <w:sz w:val="20"/>
          <w:szCs w:val="20"/>
        </w:rPr>
        <w:t xml:space="preserve"> </w:t>
      </w:r>
      <w:r w:rsidR="00357806" w:rsidRPr="008F4B54">
        <w:rPr>
          <w:rFonts w:ascii="Arial" w:hAnsi="Arial"/>
          <w:sz w:val="20"/>
          <w:szCs w:val="20"/>
        </w:rPr>
        <w:t xml:space="preserve">We propose that these example </w:t>
      </w:r>
      <w:r w:rsidR="00E64C77" w:rsidRPr="008F4B54">
        <w:rPr>
          <w:rFonts w:ascii="Arial" w:hAnsi="Arial"/>
          <w:sz w:val="20"/>
          <w:szCs w:val="20"/>
        </w:rPr>
        <w:t>PN</w:t>
      </w:r>
      <w:r w:rsidR="00357806" w:rsidRPr="008F4B54">
        <w:rPr>
          <w:rFonts w:ascii="Arial" w:hAnsi="Arial"/>
          <w:sz w:val="20"/>
          <w:szCs w:val="20"/>
        </w:rPr>
        <w:t xml:space="preserve"> models should </w:t>
      </w:r>
      <w:r w:rsidR="00846B0D" w:rsidRPr="008F4B54">
        <w:rPr>
          <w:rFonts w:ascii="Arial" w:hAnsi="Arial"/>
          <w:sz w:val="20"/>
          <w:szCs w:val="20"/>
        </w:rPr>
        <w:t xml:space="preserve">be used as baseline for NTN studies in Ka band. </w:t>
      </w:r>
      <w:r w:rsidR="009E535A" w:rsidRPr="008F4B54">
        <w:rPr>
          <w:rFonts w:ascii="Arial" w:hAnsi="Arial"/>
          <w:sz w:val="20"/>
          <w:szCs w:val="20"/>
        </w:rPr>
        <w:t xml:space="preserve">Companies should indicate which PN model is used </w:t>
      </w:r>
      <w:r w:rsidR="000D614F" w:rsidRPr="008F4B54">
        <w:rPr>
          <w:rFonts w:ascii="Arial" w:hAnsi="Arial"/>
          <w:sz w:val="20"/>
          <w:szCs w:val="20"/>
        </w:rPr>
        <w:t>when presenting their simulation results.</w:t>
      </w:r>
    </w:p>
    <w:p w14:paraId="17ECBC9A" w14:textId="491CA031" w:rsidR="00B30DF3" w:rsidRPr="008F4B54" w:rsidRDefault="00B30DF3" w:rsidP="001A5A7B">
      <w:pPr>
        <w:jc w:val="both"/>
        <w:rPr>
          <w:rFonts w:ascii="Arial" w:hAnsi="Arial"/>
          <w:sz w:val="20"/>
          <w:szCs w:val="20"/>
        </w:rPr>
      </w:pPr>
      <w:r w:rsidRPr="008F4B54">
        <w:rPr>
          <w:rFonts w:ascii="Arial" w:hAnsi="Arial"/>
          <w:sz w:val="20"/>
          <w:szCs w:val="20"/>
        </w:rPr>
        <w:t xml:space="preserve">For </w:t>
      </w:r>
      <w:r w:rsidR="00234A58" w:rsidRPr="008F4B54">
        <w:rPr>
          <w:rFonts w:ascii="Arial" w:hAnsi="Arial"/>
          <w:sz w:val="20"/>
          <w:szCs w:val="20"/>
        </w:rPr>
        <w:t xml:space="preserve">the S-band it is expected that the effect from PN on performance is neglectable. It is therefore proposed that </w:t>
      </w:r>
      <w:r w:rsidR="003D78D2" w:rsidRPr="008F4B54">
        <w:rPr>
          <w:rFonts w:ascii="Arial" w:hAnsi="Arial"/>
          <w:sz w:val="20"/>
          <w:szCs w:val="20"/>
        </w:rPr>
        <w:t>PN modelling for the S-band is optional.</w:t>
      </w:r>
    </w:p>
    <w:p w14:paraId="15154F35" w14:textId="304A0537" w:rsidR="00117814" w:rsidRPr="00833B02" w:rsidRDefault="00015CC2" w:rsidP="00D90287">
      <w:pPr>
        <w:pStyle w:val="Observation"/>
        <w:overflowPunct w:val="0"/>
        <w:autoSpaceDE w:val="0"/>
        <w:autoSpaceDN w:val="0"/>
        <w:adjustRightInd w:val="0"/>
        <w:spacing w:line="240" w:lineRule="auto"/>
        <w:textAlignment w:val="baseline"/>
        <w:rPr>
          <w:sz w:val="20"/>
          <w:szCs w:val="20"/>
        </w:rPr>
      </w:pPr>
      <w:bookmarkStart w:id="5" w:name="_Toc16839613"/>
      <w:r w:rsidRPr="008F4B54">
        <w:rPr>
          <w:sz w:val="20"/>
          <w:szCs w:val="20"/>
        </w:rPr>
        <w:t xml:space="preserve">PN model heavily depends on the assumptions on the VCO and PLL performance and limitations for mm-wave frequencies. </w:t>
      </w:r>
      <w:r w:rsidRPr="00015CC2">
        <w:rPr>
          <w:sz w:val="20"/>
          <w:szCs w:val="20"/>
        </w:rPr>
        <w:t>The assumptions can be quite different for different technologies.</w:t>
      </w:r>
      <w:bookmarkEnd w:id="5"/>
    </w:p>
    <w:p w14:paraId="44CAE47C" w14:textId="527F3792" w:rsidR="00240BB4" w:rsidRPr="0044783A" w:rsidRDefault="00E64C77" w:rsidP="00D90287">
      <w:pPr>
        <w:pStyle w:val="Proposal"/>
        <w:rPr>
          <w:sz w:val="20"/>
          <w:szCs w:val="20"/>
        </w:rPr>
      </w:pPr>
      <w:bookmarkStart w:id="6" w:name="_Toc16839626"/>
      <w:r w:rsidRPr="00F22649">
        <w:rPr>
          <w:sz w:val="20"/>
          <w:szCs w:val="20"/>
        </w:rPr>
        <w:t>The example phase noise models in TR 38.803 are used as baseline models for NTN studies</w:t>
      </w:r>
      <w:r w:rsidR="003D78D2" w:rsidRPr="00F22649">
        <w:rPr>
          <w:sz w:val="20"/>
          <w:szCs w:val="20"/>
        </w:rPr>
        <w:t xml:space="preserve"> of </w:t>
      </w:r>
      <w:r w:rsidR="00F8526E" w:rsidRPr="00F22649">
        <w:rPr>
          <w:sz w:val="20"/>
          <w:szCs w:val="20"/>
        </w:rPr>
        <w:t>the Ka band</w:t>
      </w:r>
      <w:r w:rsidRPr="00F22649">
        <w:rPr>
          <w:sz w:val="20"/>
          <w:szCs w:val="20"/>
        </w:rPr>
        <w:t>.</w:t>
      </w:r>
      <w:r w:rsidR="00041BA2" w:rsidRPr="00F22649">
        <w:rPr>
          <w:sz w:val="20"/>
          <w:szCs w:val="20"/>
        </w:rPr>
        <w:t xml:space="preserve"> </w:t>
      </w:r>
      <w:r w:rsidR="00041BA2">
        <w:rPr>
          <w:sz w:val="20"/>
          <w:szCs w:val="20"/>
        </w:rPr>
        <w:t xml:space="preserve">In </w:t>
      </w:r>
      <w:r w:rsidR="00F8526E">
        <w:rPr>
          <w:sz w:val="20"/>
          <w:szCs w:val="20"/>
        </w:rPr>
        <w:t xml:space="preserve">the S-band </w:t>
      </w:r>
      <w:r w:rsidR="00430C3F">
        <w:rPr>
          <w:sz w:val="20"/>
          <w:szCs w:val="20"/>
        </w:rPr>
        <w:t>PN modelling is optional.</w:t>
      </w:r>
      <w:bookmarkEnd w:id="6"/>
    </w:p>
    <w:p w14:paraId="5AC9E003" w14:textId="7C4B246E" w:rsidR="0009370F" w:rsidRDefault="0009370F" w:rsidP="0009370F">
      <w:pPr>
        <w:pStyle w:val="Heading2"/>
      </w:pPr>
      <w:r>
        <w:t>2.</w:t>
      </w:r>
      <w:r w:rsidR="00926E1E">
        <w:t>3</w:t>
      </w:r>
      <w:r>
        <w:tab/>
      </w:r>
      <w:r w:rsidR="00D50AA0">
        <w:t>S</w:t>
      </w:r>
      <w:r>
        <w:t>atellite</w:t>
      </w:r>
      <w:r w:rsidR="00D50AA0">
        <w:t xml:space="preserve"> parameters: Per beam or per satellite?</w:t>
      </w:r>
    </w:p>
    <w:p w14:paraId="33BA0A3A" w14:textId="4393AD04" w:rsidR="0031362A" w:rsidRDefault="00994F2F" w:rsidP="00DA025F">
      <w:pPr>
        <w:jc w:val="both"/>
        <w:rPr>
          <w:rFonts w:ascii="Arial" w:hAnsi="Arial"/>
          <w:sz w:val="20"/>
          <w:szCs w:val="20"/>
        </w:rPr>
      </w:pPr>
      <w:r w:rsidRPr="00F22649">
        <w:rPr>
          <w:rFonts w:ascii="Arial" w:hAnsi="Arial"/>
          <w:sz w:val="20"/>
          <w:szCs w:val="20"/>
        </w:rPr>
        <w:t>Two sets of satellite parameters are considered as the baseline for system level simulator calibration. However, it is not clear</w:t>
      </w:r>
      <w:r w:rsidR="00C624C8" w:rsidRPr="00F22649">
        <w:rPr>
          <w:rFonts w:ascii="Arial" w:hAnsi="Arial"/>
          <w:sz w:val="20"/>
          <w:szCs w:val="20"/>
        </w:rPr>
        <w:t xml:space="preserve"> how many</w:t>
      </w:r>
      <w:r w:rsidRPr="00F22649">
        <w:rPr>
          <w:rFonts w:ascii="Arial" w:hAnsi="Arial"/>
          <w:sz w:val="20"/>
          <w:szCs w:val="20"/>
        </w:rPr>
        <w:t xml:space="preserve"> beams </w:t>
      </w:r>
      <w:r w:rsidR="00B53A10" w:rsidRPr="00F22649">
        <w:rPr>
          <w:rFonts w:ascii="Arial" w:hAnsi="Arial"/>
          <w:sz w:val="20"/>
          <w:szCs w:val="20"/>
        </w:rPr>
        <w:t>can be simultaneously generated</w:t>
      </w:r>
      <w:r w:rsidRPr="00F22649">
        <w:rPr>
          <w:rFonts w:ascii="Arial" w:hAnsi="Arial"/>
          <w:sz w:val="20"/>
          <w:szCs w:val="20"/>
        </w:rPr>
        <w:t xml:space="preserve"> with a satellite.</w:t>
      </w:r>
      <w:r w:rsidR="005D0F19" w:rsidRPr="00F22649">
        <w:rPr>
          <w:rFonts w:ascii="Arial" w:hAnsi="Arial"/>
          <w:sz w:val="20"/>
          <w:szCs w:val="20"/>
        </w:rPr>
        <w:t xml:space="preserve"> For example,</w:t>
      </w:r>
      <w:r w:rsidR="00497023" w:rsidRPr="00F22649">
        <w:rPr>
          <w:rFonts w:ascii="Arial" w:hAnsi="Arial"/>
          <w:sz w:val="20"/>
          <w:szCs w:val="20"/>
        </w:rPr>
        <w:t xml:space="preserve"> for 600 km LEO satellite</w:t>
      </w:r>
      <w:r w:rsidR="004D6725" w:rsidRPr="001A0440">
        <w:rPr>
          <w:rFonts w:ascii="Arial" w:hAnsi="Arial"/>
          <w:sz w:val="20"/>
          <w:szCs w:val="20"/>
        </w:rPr>
        <w:t xml:space="preserve"> at 2 GHz</w:t>
      </w:r>
      <w:r w:rsidR="005D0F19" w:rsidRPr="001A0440">
        <w:rPr>
          <w:rFonts w:ascii="Arial" w:hAnsi="Arial"/>
          <w:sz w:val="20"/>
          <w:szCs w:val="20"/>
        </w:rPr>
        <w:t xml:space="preserve"> in set 1 system </w:t>
      </w:r>
      <w:r w:rsidR="00EF2461" w:rsidRPr="001A0440">
        <w:rPr>
          <w:rFonts w:ascii="Arial" w:hAnsi="Arial"/>
          <w:sz w:val="20"/>
          <w:szCs w:val="20"/>
        </w:rPr>
        <w:t xml:space="preserve">satellite parameters, the </w:t>
      </w:r>
      <w:r w:rsidR="00497023" w:rsidRPr="001A0440">
        <w:rPr>
          <w:rFonts w:ascii="Arial" w:hAnsi="Arial"/>
          <w:sz w:val="20"/>
          <w:szCs w:val="20"/>
        </w:rPr>
        <w:t>equivalent satellite antenna aperture</w:t>
      </w:r>
      <w:r w:rsidR="00A36596" w:rsidRPr="00121032">
        <w:rPr>
          <w:rFonts w:ascii="Arial" w:hAnsi="Arial"/>
          <w:sz w:val="20"/>
          <w:szCs w:val="20"/>
        </w:rPr>
        <w:t xml:space="preserve"> </w:t>
      </w:r>
      <w:r w:rsidR="0005406E" w:rsidRPr="00121032">
        <w:rPr>
          <w:rFonts w:ascii="Arial" w:hAnsi="Arial"/>
          <w:sz w:val="20"/>
          <w:szCs w:val="20"/>
        </w:rPr>
        <w:t xml:space="preserve">(antenna diameter) </w:t>
      </w:r>
      <w:r w:rsidR="002968CE" w:rsidRPr="00121032">
        <w:rPr>
          <w:rFonts w:ascii="Arial" w:hAnsi="Arial"/>
          <w:sz w:val="20"/>
          <w:szCs w:val="20"/>
        </w:rPr>
        <w:t>is 2 m</w:t>
      </w:r>
      <w:r w:rsidR="00654DC4" w:rsidRPr="00121032">
        <w:rPr>
          <w:rFonts w:ascii="Arial" w:hAnsi="Arial"/>
          <w:sz w:val="20"/>
          <w:szCs w:val="20"/>
        </w:rPr>
        <w:t xml:space="preserve"> and the satellite </w:t>
      </w:r>
      <w:r w:rsidR="00C7315A" w:rsidRPr="00121032">
        <w:rPr>
          <w:rFonts w:ascii="Arial" w:hAnsi="Arial"/>
          <w:sz w:val="20"/>
          <w:szCs w:val="20"/>
        </w:rPr>
        <w:t>TX max gain is 30 dBi.</w:t>
      </w:r>
      <w:r w:rsidR="0031362A" w:rsidRPr="00121032">
        <w:rPr>
          <w:rFonts w:ascii="Arial" w:hAnsi="Arial"/>
          <w:sz w:val="20"/>
          <w:szCs w:val="20"/>
        </w:rPr>
        <w:t xml:space="preserve"> </w:t>
      </w:r>
      <w:r w:rsidR="0031362A">
        <w:rPr>
          <w:rFonts w:ascii="Arial" w:hAnsi="Arial"/>
          <w:sz w:val="20"/>
          <w:szCs w:val="20"/>
        </w:rPr>
        <w:t>Transmit antenna gain may be derived by</w:t>
      </w:r>
    </w:p>
    <w:p w14:paraId="32A5D828" w14:textId="38E52B37" w:rsidR="00DA025F" w:rsidRDefault="003A1BCD" w:rsidP="002E583A">
      <w:pPr>
        <w:jc w:val="center"/>
        <w:rPr>
          <w:rFonts w:ascii="Arial" w:hAnsi="Arial"/>
          <w:sz w:val="20"/>
          <w:szCs w:val="20"/>
        </w:rPr>
      </w:pPr>
      <w:r>
        <w:rPr>
          <w:rFonts w:eastAsia="Calibri"/>
        </w:rPr>
        <w:pict w14:anchorId="7EAC7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48pt" equationxml="&lt;">
            <v:imagedata r:id="rId8" o:title="" chromakey="white"/>
          </v:shape>
        </w:pict>
      </w:r>
    </w:p>
    <w:p w14:paraId="5984E4FF" w14:textId="1D55BD60" w:rsidR="00163DF4" w:rsidRPr="008F4B54" w:rsidRDefault="004F4978" w:rsidP="0031362A">
      <w:pPr>
        <w:jc w:val="both"/>
        <w:rPr>
          <w:rFonts w:ascii="Arial" w:eastAsiaTheme="minorEastAsia" w:hAnsi="Arial"/>
          <w:sz w:val="20"/>
          <w:szCs w:val="20"/>
        </w:rPr>
      </w:pPr>
      <w:r w:rsidRPr="00F22649">
        <w:rPr>
          <w:rFonts w:ascii="Arial" w:hAnsi="Arial"/>
          <w:sz w:val="20"/>
          <w:szCs w:val="20"/>
        </w:rPr>
        <w:t>I</w:t>
      </w:r>
      <w:r w:rsidR="00E52781" w:rsidRPr="00F22649">
        <w:rPr>
          <w:rFonts w:ascii="Arial" w:hAnsi="Arial"/>
          <w:sz w:val="20"/>
          <w:szCs w:val="20"/>
        </w:rPr>
        <w:t>n this case,</w:t>
      </w:r>
      <w:r w:rsidR="00C82CCF" w:rsidRPr="00F22649">
        <w:rPr>
          <w:rFonts w:ascii="Arial" w:hAnsi="Arial"/>
          <w:sz w:val="20"/>
          <w:szCs w:val="20"/>
        </w:rPr>
        <w:t xml:space="preserve"> </w:t>
      </w:r>
      <m:oMath>
        <m:r>
          <w:rPr>
            <w:rFonts w:ascii="Cambria Math" w:hAnsi="Cambria Math"/>
            <w:sz w:val="20"/>
            <w:szCs w:val="20"/>
          </w:rPr>
          <m:t>λ=0.15 m, D=2 m</m:t>
        </m:r>
      </m:oMath>
      <w:r w:rsidR="00C82CCF" w:rsidRPr="008F4B54">
        <w:rPr>
          <w:rFonts w:ascii="Arial" w:hAnsi="Arial"/>
          <w:sz w:val="20"/>
          <w:szCs w:val="20"/>
        </w:rPr>
        <w:t>. We can infer</w:t>
      </w:r>
      <w:r w:rsidR="00474E7C" w:rsidRPr="008F4B54">
        <w:rPr>
          <w:rFonts w:ascii="Arial" w:hAnsi="Arial"/>
          <w:sz w:val="20"/>
          <w:szCs w:val="20"/>
        </w:rPr>
        <w:t xml:space="preserve"> that</w:t>
      </w:r>
      <w:r w:rsidR="00C82CCF" w:rsidRPr="008F4B54">
        <w:rPr>
          <w:rFonts w:ascii="Arial" w:hAnsi="Arial"/>
          <w:sz w:val="20"/>
          <w:szCs w:val="20"/>
        </w:rPr>
        <w:t xml:space="preserve"> the antenna efficiency </w:t>
      </w:r>
      <m:oMath>
        <m:r>
          <w:rPr>
            <w:rFonts w:ascii="Cambria Math" w:hAnsi="Cambria Math"/>
            <w:sz w:val="20"/>
            <w:szCs w:val="20"/>
          </w:rPr>
          <m:t>η=0.58</m:t>
        </m:r>
      </m:oMath>
      <w:r w:rsidR="00C82CCF" w:rsidRPr="008F4B54">
        <w:rPr>
          <w:rFonts w:ascii="Arial" w:eastAsiaTheme="minorEastAsia" w:hAnsi="Arial"/>
          <w:sz w:val="20"/>
          <w:szCs w:val="20"/>
        </w:rPr>
        <w:t xml:space="preserve"> to get 30 dBi antenna gain for a parabolic antenna.</w:t>
      </w:r>
      <w:r w:rsidR="00B53A10" w:rsidRPr="008F4B54">
        <w:rPr>
          <w:rFonts w:ascii="Arial" w:eastAsiaTheme="minorEastAsia" w:hAnsi="Arial"/>
          <w:sz w:val="20"/>
          <w:szCs w:val="20"/>
        </w:rPr>
        <w:t xml:space="preserve"> </w:t>
      </w:r>
      <w:r w:rsidR="009B2D8E" w:rsidRPr="008F4B54">
        <w:rPr>
          <w:rFonts w:ascii="Arial" w:eastAsiaTheme="minorEastAsia" w:hAnsi="Arial"/>
          <w:sz w:val="20"/>
          <w:szCs w:val="20"/>
        </w:rPr>
        <w:t xml:space="preserve">In the case of array antenna, </w:t>
      </w:r>
      <w:r w:rsidR="00AC7A9B" w:rsidRPr="008F4B54">
        <w:rPr>
          <w:rFonts w:ascii="Arial" w:eastAsiaTheme="minorEastAsia" w:hAnsi="Arial"/>
          <w:sz w:val="20"/>
          <w:szCs w:val="20"/>
        </w:rPr>
        <w:t xml:space="preserve">assuming the antenna element gain is 0 dBi, an array consisting of 32 </w:t>
      </w:r>
      <w:r w:rsidR="00313B59" w:rsidRPr="008F4B54">
        <w:rPr>
          <w:rFonts w:ascii="Arial" w:eastAsiaTheme="minorEastAsia" w:hAnsi="Arial"/>
          <w:sz w:val="20"/>
          <w:szCs w:val="20"/>
        </w:rPr>
        <w:t xml:space="preserve">x 32 elements is needed to get 30 dBi antenna gain. </w:t>
      </w:r>
      <w:r w:rsidR="00D133AF" w:rsidRPr="008F4B54">
        <w:rPr>
          <w:rFonts w:ascii="Arial" w:eastAsiaTheme="minorEastAsia" w:hAnsi="Arial"/>
          <w:sz w:val="20"/>
          <w:szCs w:val="20"/>
        </w:rPr>
        <w:t>Assum</w:t>
      </w:r>
      <w:r w:rsidR="00151BA3">
        <w:rPr>
          <w:rFonts w:ascii="Arial" w:eastAsiaTheme="minorEastAsia" w:hAnsi="Arial"/>
          <w:sz w:val="20"/>
          <w:szCs w:val="20"/>
        </w:rPr>
        <w:t>ing</w:t>
      </w:r>
      <w:r w:rsidR="00D133AF" w:rsidRPr="008F4B54">
        <w:rPr>
          <w:rFonts w:ascii="Arial" w:eastAsiaTheme="minorEastAsia" w:hAnsi="Arial"/>
          <w:sz w:val="20"/>
          <w:szCs w:val="20"/>
        </w:rPr>
        <w:t xml:space="preserve"> the antenna element spacing is </w:t>
      </w:r>
      <m:oMath>
        <m:r>
          <w:rPr>
            <w:rFonts w:ascii="Cambria Math" w:eastAsiaTheme="minorEastAsia" w:hAnsi="Cambria Math"/>
            <w:sz w:val="20"/>
            <w:szCs w:val="20"/>
          </w:rPr>
          <m:t>λ/2</m:t>
        </m:r>
      </m:oMath>
      <w:r w:rsidR="00EF4D22" w:rsidRPr="008F4B54">
        <w:rPr>
          <w:rFonts w:ascii="Arial" w:eastAsiaTheme="minorEastAsia" w:hAnsi="Arial"/>
          <w:sz w:val="20"/>
          <w:szCs w:val="20"/>
        </w:rPr>
        <w:t xml:space="preserve">, the array has a size of </w:t>
      </w:r>
      <w:r w:rsidR="00322187" w:rsidRPr="008F4B54">
        <w:rPr>
          <w:rFonts w:ascii="Arial" w:eastAsiaTheme="minorEastAsia" w:hAnsi="Arial"/>
          <w:sz w:val="20"/>
          <w:szCs w:val="20"/>
        </w:rPr>
        <w:t>2.4 m x 2.4 m.</w:t>
      </w:r>
      <w:r w:rsidR="00CA779C" w:rsidRPr="008F4B54">
        <w:rPr>
          <w:rFonts w:ascii="Arial" w:eastAsiaTheme="minorEastAsia" w:hAnsi="Arial"/>
          <w:sz w:val="20"/>
          <w:szCs w:val="20"/>
        </w:rPr>
        <w:t xml:space="preserve"> </w:t>
      </w:r>
    </w:p>
    <w:p w14:paraId="2E8D44FE" w14:textId="2A61C498" w:rsidR="00322187" w:rsidRPr="00F22649" w:rsidRDefault="008D7D4C" w:rsidP="0031362A">
      <w:pPr>
        <w:jc w:val="both"/>
        <w:rPr>
          <w:rFonts w:ascii="Arial" w:hAnsi="Arial"/>
          <w:sz w:val="20"/>
          <w:szCs w:val="20"/>
        </w:rPr>
      </w:pPr>
      <w:r w:rsidRPr="00F22649">
        <w:rPr>
          <w:rFonts w:ascii="Arial" w:hAnsi="Arial"/>
          <w:sz w:val="20"/>
          <w:szCs w:val="20"/>
        </w:rPr>
        <w:t>I</w:t>
      </w:r>
      <w:r w:rsidR="009708A7" w:rsidRPr="00F22649">
        <w:rPr>
          <w:rFonts w:ascii="Arial" w:hAnsi="Arial"/>
          <w:sz w:val="20"/>
          <w:szCs w:val="20"/>
        </w:rPr>
        <w:t xml:space="preserve">t seems that the satellite TX max gain is the total antenna gain over </w:t>
      </w:r>
      <w:r w:rsidR="004E42C9" w:rsidRPr="00F22649">
        <w:rPr>
          <w:rFonts w:ascii="Arial" w:hAnsi="Arial"/>
          <w:sz w:val="20"/>
          <w:szCs w:val="20"/>
        </w:rPr>
        <w:t xml:space="preserve">all the beams that are simultaneously generated with the satellite. </w:t>
      </w:r>
      <w:r w:rsidR="008C6D9D" w:rsidRPr="00F22649">
        <w:rPr>
          <w:rFonts w:ascii="Arial" w:hAnsi="Arial"/>
          <w:sz w:val="20"/>
          <w:szCs w:val="20"/>
        </w:rPr>
        <w:t>Clearly, there is a tradeoff between link budget and system capacity</w:t>
      </w:r>
      <w:r w:rsidR="00B83F10" w:rsidRPr="001A0440">
        <w:rPr>
          <w:rFonts w:ascii="Arial" w:hAnsi="Arial"/>
          <w:sz w:val="20"/>
          <w:szCs w:val="20"/>
        </w:rPr>
        <w:t xml:space="preserve">. </w:t>
      </w:r>
      <w:r w:rsidR="00691740" w:rsidRPr="001A0440">
        <w:rPr>
          <w:rFonts w:ascii="Arial" w:hAnsi="Arial"/>
          <w:sz w:val="20"/>
          <w:szCs w:val="20"/>
        </w:rPr>
        <w:t>When</w:t>
      </w:r>
      <w:r w:rsidR="00B83F10" w:rsidRPr="001A0440">
        <w:rPr>
          <w:rFonts w:ascii="Arial" w:hAnsi="Arial"/>
          <w:sz w:val="20"/>
          <w:szCs w:val="20"/>
        </w:rPr>
        <w:t xml:space="preserve"> the</w:t>
      </w:r>
      <w:r w:rsidR="00691740" w:rsidRPr="001A0440">
        <w:rPr>
          <w:rFonts w:ascii="Arial" w:hAnsi="Arial"/>
          <w:sz w:val="20"/>
          <w:szCs w:val="20"/>
        </w:rPr>
        <w:t xml:space="preserve"> number of</w:t>
      </w:r>
      <w:r w:rsidR="00B83F10" w:rsidRPr="001A0440">
        <w:rPr>
          <w:rFonts w:ascii="Arial" w:hAnsi="Arial"/>
          <w:sz w:val="20"/>
          <w:szCs w:val="20"/>
        </w:rPr>
        <w:t xml:space="preserve"> simultaneously generated beams</w:t>
      </w:r>
      <w:r w:rsidR="00691740" w:rsidRPr="001A0440">
        <w:rPr>
          <w:rFonts w:ascii="Arial" w:hAnsi="Arial"/>
          <w:sz w:val="20"/>
          <w:szCs w:val="20"/>
        </w:rPr>
        <w:t xml:space="preserve"> increases</w:t>
      </w:r>
      <w:r w:rsidR="00B83F10" w:rsidRPr="001A0440">
        <w:rPr>
          <w:rFonts w:ascii="Arial" w:hAnsi="Arial"/>
          <w:sz w:val="20"/>
          <w:szCs w:val="20"/>
        </w:rPr>
        <w:t xml:space="preserve">, the </w:t>
      </w:r>
      <w:r w:rsidR="00691740" w:rsidRPr="00121032">
        <w:rPr>
          <w:rFonts w:ascii="Arial" w:hAnsi="Arial"/>
          <w:sz w:val="20"/>
          <w:szCs w:val="20"/>
        </w:rPr>
        <w:t xml:space="preserve">link budget becomes </w:t>
      </w:r>
      <w:r w:rsidR="001D781B" w:rsidRPr="00121032">
        <w:rPr>
          <w:rFonts w:ascii="Arial" w:hAnsi="Arial"/>
          <w:sz w:val="20"/>
          <w:szCs w:val="20"/>
        </w:rPr>
        <w:t xml:space="preserve">more stringent </w:t>
      </w:r>
      <w:r w:rsidR="00FD3E99" w:rsidRPr="00121032">
        <w:rPr>
          <w:rFonts w:ascii="Arial" w:hAnsi="Arial"/>
          <w:sz w:val="20"/>
          <w:szCs w:val="20"/>
        </w:rPr>
        <w:t>but the</w:t>
      </w:r>
      <w:r w:rsidR="00B50864" w:rsidRPr="00121032">
        <w:rPr>
          <w:rFonts w:ascii="Arial" w:hAnsi="Arial"/>
          <w:sz w:val="20"/>
          <w:szCs w:val="20"/>
        </w:rPr>
        <w:t xml:space="preserve"> simultaneously served</w:t>
      </w:r>
      <w:r w:rsidR="00FD3E99" w:rsidRPr="00121032">
        <w:rPr>
          <w:rFonts w:ascii="Arial" w:hAnsi="Arial"/>
          <w:sz w:val="20"/>
          <w:szCs w:val="20"/>
        </w:rPr>
        <w:t xml:space="preserve"> </w:t>
      </w:r>
      <w:r w:rsidR="00B50864" w:rsidRPr="00121032">
        <w:rPr>
          <w:rFonts w:ascii="Arial" w:hAnsi="Arial"/>
          <w:sz w:val="20"/>
          <w:szCs w:val="20"/>
        </w:rPr>
        <w:t>geographical area becomes larger.</w:t>
      </w:r>
      <w:r w:rsidR="00AE59AE" w:rsidRPr="00121032">
        <w:rPr>
          <w:rFonts w:ascii="Arial" w:hAnsi="Arial"/>
          <w:sz w:val="20"/>
          <w:szCs w:val="20"/>
        </w:rPr>
        <w:t xml:space="preserve"> Thus, to accurate</w:t>
      </w:r>
      <w:r w:rsidR="006625F5" w:rsidRPr="00121032">
        <w:rPr>
          <w:rFonts w:ascii="Arial" w:hAnsi="Arial"/>
          <w:sz w:val="20"/>
          <w:szCs w:val="20"/>
        </w:rPr>
        <w:t>ly</w:t>
      </w:r>
      <w:r w:rsidR="00AE59AE" w:rsidRPr="00121032">
        <w:rPr>
          <w:rFonts w:ascii="Arial" w:hAnsi="Arial"/>
          <w:sz w:val="20"/>
          <w:szCs w:val="20"/>
        </w:rPr>
        <w:t xml:space="preserve"> assess NTN link budget and system capacity, </w:t>
      </w:r>
      <w:r w:rsidR="00677615" w:rsidRPr="00121032">
        <w:rPr>
          <w:rFonts w:ascii="Arial" w:hAnsi="Arial"/>
          <w:sz w:val="20"/>
          <w:szCs w:val="20"/>
        </w:rPr>
        <w:t>assumptio</w:t>
      </w:r>
      <w:r w:rsidR="00677615" w:rsidRPr="0062014D">
        <w:rPr>
          <w:rFonts w:ascii="Arial" w:hAnsi="Arial"/>
          <w:sz w:val="20"/>
          <w:szCs w:val="20"/>
        </w:rPr>
        <w:t>n</w:t>
      </w:r>
      <w:r w:rsidR="009D0394" w:rsidRPr="00987A1F">
        <w:rPr>
          <w:rFonts w:ascii="Arial" w:hAnsi="Arial"/>
          <w:sz w:val="20"/>
          <w:szCs w:val="20"/>
        </w:rPr>
        <w:t>s</w:t>
      </w:r>
      <w:r w:rsidR="00677615" w:rsidRPr="00987A1F">
        <w:rPr>
          <w:rFonts w:ascii="Arial" w:hAnsi="Arial"/>
          <w:sz w:val="20"/>
          <w:szCs w:val="20"/>
        </w:rPr>
        <w:t xml:space="preserve"> on </w:t>
      </w:r>
      <w:r w:rsidR="009D0394" w:rsidRPr="00987A1F">
        <w:rPr>
          <w:rFonts w:ascii="Arial" w:hAnsi="Arial"/>
          <w:sz w:val="20"/>
          <w:szCs w:val="20"/>
        </w:rPr>
        <w:t>the numbers of transmit and rec</w:t>
      </w:r>
      <w:r w:rsidR="009D0394" w:rsidRPr="00776A0C">
        <w:rPr>
          <w:rFonts w:ascii="Arial" w:hAnsi="Arial"/>
          <w:sz w:val="20"/>
          <w:szCs w:val="20"/>
        </w:rPr>
        <w:t>eive beams per satellite are needed.</w:t>
      </w:r>
    </w:p>
    <w:p w14:paraId="6D71EC86" w14:textId="694BBC9C" w:rsidR="00D95785" w:rsidRPr="001A0440" w:rsidRDefault="00012495" w:rsidP="0031362A">
      <w:pPr>
        <w:jc w:val="both"/>
        <w:rPr>
          <w:rFonts w:ascii="Arial" w:hAnsi="Arial"/>
          <w:sz w:val="20"/>
          <w:szCs w:val="20"/>
        </w:rPr>
      </w:pPr>
      <w:r w:rsidRPr="00F22649">
        <w:rPr>
          <w:rFonts w:ascii="Arial" w:hAnsi="Arial"/>
          <w:sz w:val="20"/>
          <w:szCs w:val="20"/>
        </w:rPr>
        <w:t>In addition to satellite TX max gain and RX max gain</w:t>
      </w:r>
      <w:r w:rsidR="00D95785" w:rsidRPr="00F22649">
        <w:rPr>
          <w:rFonts w:ascii="Arial" w:hAnsi="Arial"/>
          <w:sz w:val="20"/>
          <w:szCs w:val="20"/>
        </w:rPr>
        <w:t>, there are</w:t>
      </w:r>
      <w:r w:rsidR="00B41435" w:rsidRPr="00F22649">
        <w:rPr>
          <w:rFonts w:ascii="Arial" w:hAnsi="Arial"/>
          <w:sz w:val="20"/>
          <w:szCs w:val="20"/>
        </w:rPr>
        <w:t xml:space="preserve"> similar</w:t>
      </w:r>
      <w:r w:rsidR="00D95785" w:rsidRPr="00F22649">
        <w:rPr>
          <w:rFonts w:ascii="Arial" w:hAnsi="Arial"/>
          <w:sz w:val="20"/>
          <w:szCs w:val="20"/>
        </w:rPr>
        <w:t xml:space="preserve"> confusions about the other parameters such as </w:t>
      </w:r>
      <w:r w:rsidR="00E46E7E" w:rsidRPr="001A0440">
        <w:rPr>
          <w:rFonts w:ascii="Arial" w:hAnsi="Arial"/>
          <w:sz w:val="20"/>
          <w:szCs w:val="20"/>
        </w:rPr>
        <w:t>EIRP density</w:t>
      </w:r>
      <w:r w:rsidRPr="001A0440">
        <w:rPr>
          <w:rFonts w:ascii="Arial" w:hAnsi="Arial"/>
          <w:sz w:val="20"/>
          <w:szCs w:val="20"/>
        </w:rPr>
        <w:t xml:space="preserve"> and G/T</w:t>
      </w:r>
      <w:r w:rsidR="00B41435" w:rsidRPr="001A0440">
        <w:rPr>
          <w:rFonts w:ascii="Arial" w:hAnsi="Arial"/>
          <w:sz w:val="20"/>
          <w:szCs w:val="20"/>
        </w:rPr>
        <w:t>, regarding whether they are per-beam or per-satellite parameters.</w:t>
      </w:r>
    </w:p>
    <w:p w14:paraId="198F8983" w14:textId="6A0DB463" w:rsidR="00541417" w:rsidRPr="008F4B54" w:rsidRDefault="00293DB8" w:rsidP="0031362A">
      <w:pPr>
        <w:jc w:val="both"/>
        <w:rPr>
          <w:rFonts w:ascii="Arial" w:hAnsi="Arial"/>
          <w:sz w:val="20"/>
          <w:szCs w:val="20"/>
        </w:rPr>
      </w:pPr>
      <w:r w:rsidRPr="00121032">
        <w:rPr>
          <w:rFonts w:ascii="Arial" w:hAnsi="Arial"/>
          <w:sz w:val="20"/>
          <w:szCs w:val="20"/>
        </w:rPr>
        <w:t xml:space="preserve">If the current satellite parameters are per-satellite parameters, it is necessary to determine how to apply </w:t>
      </w:r>
      <w:r w:rsidR="00930E0D" w:rsidRPr="00121032">
        <w:rPr>
          <w:rFonts w:ascii="Arial" w:hAnsi="Arial"/>
          <w:sz w:val="20"/>
          <w:szCs w:val="20"/>
        </w:rPr>
        <w:t xml:space="preserve">the parameters to </w:t>
      </w:r>
      <w:r w:rsidR="003B77C7" w:rsidRPr="00121032">
        <w:rPr>
          <w:rFonts w:ascii="Arial" w:hAnsi="Arial"/>
          <w:sz w:val="20"/>
          <w:szCs w:val="20"/>
        </w:rPr>
        <w:t xml:space="preserve">the </w:t>
      </w:r>
      <w:r w:rsidR="00930E0D" w:rsidRPr="00121032">
        <w:rPr>
          <w:rFonts w:ascii="Arial" w:hAnsi="Arial"/>
          <w:sz w:val="20"/>
          <w:szCs w:val="20"/>
        </w:rPr>
        <w:t>beam</w:t>
      </w:r>
      <w:r w:rsidR="003B77C7" w:rsidRPr="0062014D">
        <w:rPr>
          <w:rFonts w:ascii="Arial" w:hAnsi="Arial"/>
          <w:sz w:val="20"/>
          <w:szCs w:val="20"/>
        </w:rPr>
        <w:t>s simultaneously</w:t>
      </w:r>
      <w:r w:rsidR="00930E0D" w:rsidRPr="00987A1F">
        <w:rPr>
          <w:rFonts w:ascii="Arial" w:hAnsi="Arial"/>
          <w:sz w:val="20"/>
          <w:szCs w:val="20"/>
        </w:rPr>
        <w:t xml:space="preserve"> </w:t>
      </w:r>
      <w:r w:rsidR="003B77C7" w:rsidRPr="00987A1F">
        <w:rPr>
          <w:rFonts w:ascii="Arial" w:hAnsi="Arial"/>
          <w:sz w:val="20"/>
          <w:szCs w:val="20"/>
        </w:rPr>
        <w:t xml:space="preserve">associated with the satellite. </w:t>
      </w:r>
      <w:r w:rsidR="004A417B" w:rsidRPr="00987A1F">
        <w:rPr>
          <w:rFonts w:ascii="Arial" w:hAnsi="Arial"/>
          <w:sz w:val="20"/>
          <w:szCs w:val="20"/>
        </w:rPr>
        <w:t>In the running example above, the channel bandwid</w:t>
      </w:r>
      <w:r w:rsidR="004A417B" w:rsidRPr="00776A0C">
        <w:rPr>
          <w:rFonts w:ascii="Arial" w:hAnsi="Arial"/>
          <w:sz w:val="20"/>
          <w:szCs w:val="20"/>
        </w:rPr>
        <w:t>th for LEO in 2 GHz is 30 MHz</w:t>
      </w:r>
      <w:r w:rsidR="00B674D3" w:rsidRPr="00E82E70">
        <w:rPr>
          <w:rFonts w:ascii="Arial" w:hAnsi="Arial"/>
          <w:sz w:val="20"/>
          <w:szCs w:val="20"/>
        </w:rPr>
        <w:t xml:space="preserve">, </w:t>
      </w:r>
      <w:r w:rsidR="0010686F" w:rsidRPr="00E82E70">
        <w:rPr>
          <w:rFonts w:ascii="Arial" w:hAnsi="Arial"/>
          <w:sz w:val="20"/>
          <w:szCs w:val="20"/>
        </w:rPr>
        <w:t xml:space="preserve">EIRP density is </w:t>
      </w:r>
      <w:r w:rsidR="004A65FF" w:rsidRPr="008F4B54">
        <w:rPr>
          <w:rFonts w:ascii="Arial" w:hAnsi="Arial"/>
          <w:sz w:val="20"/>
          <w:szCs w:val="20"/>
        </w:rPr>
        <w:t>34</w:t>
      </w:r>
      <w:r w:rsidR="00B674D3" w:rsidRPr="008F4B54">
        <w:rPr>
          <w:rFonts w:ascii="Arial" w:hAnsi="Arial"/>
          <w:sz w:val="20"/>
          <w:szCs w:val="20"/>
        </w:rPr>
        <w:t xml:space="preserve"> dBW/MHz, and TX max gain is 30 dBi. Assuming the</w:t>
      </w:r>
      <w:r w:rsidR="005D1C4D" w:rsidRPr="008F4B54">
        <w:rPr>
          <w:rFonts w:ascii="Arial" w:hAnsi="Arial"/>
          <w:sz w:val="20"/>
          <w:szCs w:val="20"/>
        </w:rPr>
        <w:t>se</w:t>
      </w:r>
      <w:r w:rsidR="00B674D3" w:rsidRPr="008F4B54">
        <w:rPr>
          <w:rFonts w:ascii="Arial" w:hAnsi="Arial"/>
          <w:sz w:val="20"/>
          <w:szCs w:val="20"/>
        </w:rPr>
        <w:t xml:space="preserve"> are per-satellite parameters, we can infer that the satellite transmit power is </w:t>
      </w:r>
      <w:r w:rsidR="00960C2E" w:rsidRPr="008F4B54">
        <w:rPr>
          <w:rFonts w:ascii="Arial" w:hAnsi="Arial"/>
          <w:sz w:val="20"/>
          <w:szCs w:val="20"/>
        </w:rPr>
        <w:t xml:space="preserve">48.77 dBm (i.e., 75 W). </w:t>
      </w:r>
      <w:r w:rsidR="005D536C" w:rsidRPr="008F4B54">
        <w:rPr>
          <w:rFonts w:ascii="Arial" w:hAnsi="Arial"/>
          <w:sz w:val="20"/>
          <w:szCs w:val="20"/>
        </w:rPr>
        <w:t>It should be decided how the transmit power/antenna gain/</w:t>
      </w:r>
      <w:r w:rsidR="005B787C" w:rsidRPr="008F4B54">
        <w:rPr>
          <w:rFonts w:ascii="Arial" w:hAnsi="Arial"/>
          <w:sz w:val="20"/>
          <w:szCs w:val="20"/>
        </w:rPr>
        <w:t>EIRP density is distributed across the beams.</w:t>
      </w:r>
    </w:p>
    <w:p w14:paraId="43050787" w14:textId="77777777" w:rsidR="0054563F" w:rsidRPr="008F4B54" w:rsidRDefault="0054563F" w:rsidP="0054563F">
      <w:pPr>
        <w:pStyle w:val="Proposal"/>
        <w:rPr>
          <w:sz w:val="20"/>
          <w:szCs w:val="20"/>
        </w:rPr>
      </w:pPr>
      <w:bookmarkStart w:id="7" w:name="_Toc16839627"/>
      <w:r w:rsidRPr="008F4B54">
        <w:rPr>
          <w:sz w:val="20"/>
          <w:szCs w:val="20"/>
        </w:rPr>
        <w:t>RAN1 to discuss and agree on the numbers of transmit and receive beams simultaneously generated per satellite.</w:t>
      </w:r>
      <w:bookmarkEnd w:id="7"/>
    </w:p>
    <w:p w14:paraId="32FEA50E" w14:textId="77777777" w:rsidR="0054563F" w:rsidRPr="008F4B54" w:rsidRDefault="0054563F" w:rsidP="0054563F">
      <w:pPr>
        <w:pStyle w:val="Proposal"/>
        <w:rPr>
          <w:sz w:val="20"/>
          <w:szCs w:val="20"/>
        </w:rPr>
      </w:pPr>
      <w:bookmarkStart w:id="8" w:name="_Toc16839628"/>
      <w:r w:rsidRPr="008F4B54">
        <w:rPr>
          <w:sz w:val="20"/>
          <w:szCs w:val="20"/>
        </w:rPr>
        <w:t>RAN1 to clarify whether the two sets of satellite parameters are applied per satellite or per beam.</w:t>
      </w:r>
      <w:bookmarkEnd w:id="8"/>
    </w:p>
    <w:p w14:paraId="2ACE2F9B" w14:textId="7DFE3323" w:rsidR="0054563F" w:rsidRPr="008F4B54" w:rsidRDefault="0054563F" w:rsidP="0031362A">
      <w:pPr>
        <w:pStyle w:val="Proposal"/>
        <w:rPr>
          <w:sz w:val="20"/>
          <w:szCs w:val="20"/>
        </w:rPr>
      </w:pPr>
      <w:bookmarkStart w:id="9" w:name="_Toc16839629"/>
      <w:r w:rsidRPr="008F4B54">
        <w:rPr>
          <w:sz w:val="20"/>
          <w:szCs w:val="20"/>
        </w:rPr>
        <w:t>For a given number of transmit/receive beams per satellite, RAN1 to discuss how to apply the satellite parameters to each beam (if they are per-satellite parameters).</w:t>
      </w:r>
      <w:bookmarkEnd w:id="9"/>
      <w:r w:rsidRPr="008F4B54">
        <w:rPr>
          <w:sz w:val="20"/>
          <w:szCs w:val="20"/>
        </w:rPr>
        <w:t xml:space="preserve">  </w:t>
      </w:r>
    </w:p>
    <w:p w14:paraId="432F7DE0" w14:textId="42F7FF3E" w:rsidR="00451351" w:rsidRDefault="00451351" w:rsidP="00451351">
      <w:pPr>
        <w:pStyle w:val="Heading2"/>
      </w:pPr>
      <w:r>
        <w:t>2.</w:t>
      </w:r>
      <w:r w:rsidR="00926E1E">
        <w:t>4</w:t>
      </w:r>
      <w:r>
        <w:tab/>
        <w:t>Uplink transmission bandwidths</w:t>
      </w:r>
    </w:p>
    <w:p w14:paraId="01BB07FF" w14:textId="77777777" w:rsidR="00451351" w:rsidRPr="00F22649" w:rsidRDefault="00451351" w:rsidP="00451351">
      <w:pPr>
        <w:jc w:val="both"/>
        <w:rPr>
          <w:rFonts w:ascii="Arial" w:hAnsi="Arial"/>
          <w:sz w:val="20"/>
          <w:szCs w:val="20"/>
        </w:rPr>
      </w:pPr>
      <w:r w:rsidRPr="00F22649">
        <w:rPr>
          <w:rFonts w:ascii="Arial" w:hAnsi="Arial"/>
          <w:sz w:val="20"/>
          <w:szCs w:val="20"/>
        </w:rPr>
        <w:t xml:space="preserve">Assumptions on uplink transmission bandwidths are important for link budget analysis. </w:t>
      </w:r>
    </w:p>
    <w:p w14:paraId="7F2E788E" w14:textId="77777777" w:rsidR="00451351" w:rsidRPr="0054563F" w:rsidRDefault="00451351" w:rsidP="00451351">
      <w:pPr>
        <w:pStyle w:val="ListParagraph"/>
        <w:numPr>
          <w:ilvl w:val="0"/>
          <w:numId w:val="26"/>
        </w:numPr>
        <w:jc w:val="both"/>
        <w:rPr>
          <w:rFonts w:ascii="Arial" w:hAnsi="Arial"/>
          <w:sz w:val="20"/>
          <w:szCs w:val="20"/>
        </w:rPr>
      </w:pPr>
      <w:r w:rsidRPr="0054563F">
        <w:rPr>
          <w:rFonts w:ascii="Arial" w:hAnsi="Arial"/>
          <w:sz w:val="20"/>
          <w:szCs w:val="20"/>
        </w:rPr>
        <w:t>For S-band NTN, uplink transmission bandwidth may range from 180 kHz (1 PRB with</w:t>
      </w:r>
      <w:r>
        <w:rPr>
          <w:rFonts w:ascii="Arial" w:hAnsi="Arial"/>
          <w:sz w:val="20"/>
          <w:szCs w:val="20"/>
          <w:lang w:val="en-US"/>
        </w:rPr>
        <w:t xml:space="preserve"> </w:t>
      </w:r>
      <w:r w:rsidRPr="0054563F">
        <w:rPr>
          <w:rFonts w:ascii="Arial" w:hAnsi="Arial"/>
          <w:sz w:val="20"/>
          <w:szCs w:val="20"/>
        </w:rPr>
        <w:t xml:space="preserve">15 kHz subcarrier spacing) to 30 </w:t>
      </w:r>
      <w:proofErr w:type="spellStart"/>
      <w:r w:rsidRPr="0054563F">
        <w:rPr>
          <w:rFonts w:ascii="Arial" w:hAnsi="Arial"/>
          <w:sz w:val="20"/>
          <w:szCs w:val="20"/>
        </w:rPr>
        <w:t>MHz.</w:t>
      </w:r>
      <w:proofErr w:type="spellEnd"/>
      <w:r w:rsidRPr="0054563F">
        <w:rPr>
          <w:rFonts w:ascii="Arial" w:hAnsi="Arial"/>
          <w:sz w:val="20"/>
          <w:szCs w:val="20"/>
        </w:rPr>
        <w:t xml:space="preserve"> The target SNR may vary up to 22 dB, depending on the assumed uplink transmission bandwidth. </w:t>
      </w:r>
    </w:p>
    <w:p w14:paraId="34D3E543" w14:textId="77777777" w:rsidR="00451351" w:rsidRPr="0054563F" w:rsidRDefault="00451351" w:rsidP="00451351">
      <w:pPr>
        <w:pStyle w:val="ListParagraph"/>
        <w:numPr>
          <w:ilvl w:val="0"/>
          <w:numId w:val="26"/>
        </w:numPr>
        <w:jc w:val="both"/>
        <w:rPr>
          <w:rFonts w:ascii="Arial" w:hAnsi="Arial"/>
          <w:sz w:val="20"/>
          <w:szCs w:val="20"/>
        </w:rPr>
      </w:pPr>
      <w:r w:rsidRPr="0054563F">
        <w:rPr>
          <w:rFonts w:ascii="Arial" w:hAnsi="Arial"/>
          <w:sz w:val="20"/>
          <w:szCs w:val="20"/>
        </w:rPr>
        <w:t>For Ka-band NTN, uplink transmission bandwidth may range from 720 kHz</w:t>
      </w:r>
      <w:r>
        <w:rPr>
          <w:rFonts w:ascii="Arial" w:hAnsi="Arial"/>
          <w:sz w:val="20"/>
          <w:szCs w:val="20"/>
          <w:lang w:val="en-US"/>
        </w:rPr>
        <w:t xml:space="preserve"> </w:t>
      </w:r>
      <w:r w:rsidRPr="0054563F">
        <w:rPr>
          <w:rFonts w:ascii="Arial" w:hAnsi="Arial"/>
          <w:sz w:val="20"/>
          <w:szCs w:val="20"/>
        </w:rPr>
        <w:t>(1 PRB with</w:t>
      </w:r>
      <w:r>
        <w:rPr>
          <w:rFonts w:ascii="Arial" w:hAnsi="Arial"/>
          <w:sz w:val="20"/>
          <w:szCs w:val="20"/>
          <w:lang w:val="en-US"/>
        </w:rPr>
        <w:t xml:space="preserve"> 60</w:t>
      </w:r>
      <w:r w:rsidRPr="0054563F">
        <w:rPr>
          <w:rFonts w:ascii="Arial" w:hAnsi="Arial"/>
          <w:sz w:val="20"/>
          <w:szCs w:val="20"/>
        </w:rPr>
        <w:t xml:space="preserve"> kHz subcarrier spacing) to 400 </w:t>
      </w:r>
      <w:proofErr w:type="spellStart"/>
      <w:r w:rsidRPr="0054563F">
        <w:rPr>
          <w:rFonts w:ascii="Arial" w:hAnsi="Arial"/>
          <w:sz w:val="20"/>
          <w:szCs w:val="20"/>
        </w:rPr>
        <w:t>MHz.</w:t>
      </w:r>
      <w:proofErr w:type="spellEnd"/>
      <w:r w:rsidRPr="0054563F">
        <w:rPr>
          <w:rFonts w:ascii="Arial" w:hAnsi="Arial"/>
          <w:sz w:val="20"/>
          <w:szCs w:val="20"/>
        </w:rPr>
        <w:t xml:space="preserve"> The range of target SNR is up to 27 dB, depending on the assumed uplink transmission bandwidth. </w:t>
      </w:r>
    </w:p>
    <w:p w14:paraId="400F07B1" w14:textId="77777777" w:rsidR="00451351" w:rsidRPr="00F22649" w:rsidRDefault="00451351" w:rsidP="00451351">
      <w:pPr>
        <w:jc w:val="both"/>
        <w:rPr>
          <w:rFonts w:ascii="Arial" w:hAnsi="Arial"/>
          <w:sz w:val="20"/>
          <w:szCs w:val="20"/>
        </w:rPr>
      </w:pPr>
      <w:r w:rsidRPr="00F22649">
        <w:rPr>
          <w:rFonts w:ascii="Arial" w:hAnsi="Arial"/>
          <w:sz w:val="20"/>
          <w:szCs w:val="20"/>
        </w:rPr>
        <w:t>In NTN, handheld UE is assumed for S-band and VSAT is assumed for Ka-band. Since link budget is challenging for handheld UE in NTN uplink, it is reasonable to assume that handheld UE transmits with minimum uplink bandwidth for link budget analysis. For VSAT, the performance is not coverage limited (but bandwidth limited) and thus it is reasonable to assume that VSAT transmits with maximum uplink bandwidth for link budget analysis. This will provide insights on peak data rate in NTN uplink with VSAT since channel capacity monotonically increases with channel bandwidth.</w:t>
      </w:r>
    </w:p>
    <w:p w14:paraId="7F0BC615" w14:textId="1F60A9C9" w:rsidR="00451351" w:rsidRPr="001A0440" w:rsidRDefault="00451351" w:rsidP="00451351">
      <w:pPr>
        <w:pStyle w:val="Proposal"/>
        <w:rPr>
          <w:sz w:val="20"/>
          <w:szCs w:val="20"/>
        </w:rPr>
      </w:pPr>
      <w:bookmarkStart w:id="10" w:name="_Toc16839630"/>
      <w:r w:rsidRPr="001A0440">
        <w:rPr>
          <w:sz w:val="20"/>
          <w:szCs w:val="20"/>
        </w:rPr>
        <w:t>For link budget calculation in NTN uplink, it is assumed that handheld UE transmits with 180 kHz bandwidth in S band and VSAT transmits with 400 MHz bandwidth in Ka band.</w:t>
      </w:r>
      <w:bookmarkEnd w:id="10"/>
    </w:p>
    <w:p w14:paraId="372DA9A6" w14:textId="27A635E6" w:rsidR="0054563F" w:rsidRDefault="0054563F" w:rsidP="0054563F">
      <w:pPr>
        <w:pStyle w:val="Heading2"/>
      </w:pPr>
      <w:r>
        <w:t>2.</w:t>
      </w:r>
      <w:r w:rsidR="00926E1E">
        <w:t>5</w:t>
      </w:r>
      <w:r>
        <w:tab/>
      </w:r>
      <w:r w:rsidR="00451351">
        <w:t>Wrap-around methodology for NTN</w:t>
      </w:r>
    </w:p>
    <w:p w14:paraId="6FB10D63" w14:textId="7D219C5A" w:rsidR="00117C41" w:rsidRPr="001A0440" w:rsidRDefault="00117C41" w:rsidP="00117C41">
      <w:pPr>
        <w:jc w:val="both"/>
        <w:rPr>
          <w:rFonts w:ascii="Arial" w:hAnsi="Arial"/>
          <w:sz w:val="20"/>
          <w:szCs w:val="20"/>
        </w:rPr>
      </w:pPr>
      <w:r w:rsidRPr="00F22649">
        <w:rPr>
          <w:rFonts w:ascii="Arial" w:hAnsi="Arial"/>
          <w:sz w:val="20"/>
          <w:szCs w:val="20"/>
        </w:rPr>
        <w:t xml:space="preserve">To perform wrapping when performing system level simulations is an established way for lowering the simulation complexity. Based on the discussions at RAN1#97 in Reno, it was also acknowledged that a wrap-around mechanism should be considered as a baseline for single satellite simulation for intra-satellite interference modelling based on additional boresight beam directions. However, details on the wrap-around methodology are still open. Different wrap-around methods will give quite different statistics in terms of geometry, making it difficult (if not impossible) to calibrate system level simulators among companies and compare results from different sources. This will cause difficulty to </w:t>
      </w:r>
      <w:r w:rsidR="008F3E9A" w:rsidRPr="001A0440">
        <w:rPr>
          <w:rFonts w:ascii="Arial" w:hAnsi="Arial"/>
          <w:sz w:val="20"/>
          <w:szCs w:val="20"/>
        </w:rPr>
        <w:t>make</w:t>
      </w:r>
      <w:r w:rsidRPr="001A0440">
        <w:rPr>
          <w:rFonts w:ascii="Arial" w:hAnsi="Arial"/>
          <w:sz w:val="20"/>
          <w:szCs w:val="20"/>
        </w:rPr>
        <w:t xml:space="preserve"> observations and draw conclusions from the system simulation results for NTN study. </w:t>
      </w:r>
    </w:p>
    <w:p w14:paraId="765B8892" w14:textId="00C0DC46" w:rsidR="00117C41" w:rsidRPr="00F22649" w:rsidRDefault="00117C41" w:rsidP="00117C41">
      <w:pPr>
        <w:pStyle w:val="Observation"/>
        <w:overflowPunct w:val="0"/>
        <w:autoSpaceDE w:val="0"/>
        <w:autoSpaceDN w:val="0"/>
        <w:adjustRightInd w:val="0"/>
        <w:spacing w:line="240" w:lineRule="auto"/>
        <w:textAlignment w:val="baseline"/>
        <w:rPr>
          <w:sz w:val="20"/>
          <w:szCs w:val="20"/>
        </w:rPr>
      </w:pPr>
      <w:bookmarkStart w:id="11" w:name="_Toc16839614"/>
      <w:r w:rsidRPr="001A0440">
        <w:rPr>
          <w:sz w:val="20"/>
          <w:szCs w:val="20"/>
        </w:rPr>
        <w:t xml:space="preserve">Different wrap-around methods will give quite different </w:t>
      </w:r>
      <w:r w:rsidRPr="00F22649">
        <w:rPr>
          <w:sz w:val="20"/>
          <w:szCs w:val="20"/>
        </w:rPr>
        <w:t>statistics in terms of geometry</w:t>
      </w:r>
      <w:r w:rsidR="008D7D4C" w:rsidRPr="00F22649">
        <w:rPr>
          <w:sz w:val="20"/>
          <w:szCs w:val="20"/>
        </w:rPr>
        <w:t xml:space="preserve"> </w:t>
      </w:r>
      <w:r w:rsidR="008D7D4C">
        <w:rPr>
          <w:sz w:val="20"/>
          <w:szCs w:val="20"/>
        </w:rPr>
        <w:fldChar w:fldCharType="begin"/>
      </w:r>
      <w:r w:rsidR="008D7D4C" w:rsidRPr="00C76E89">
        <w:rPr>
          <w:sz w:val="20"/>
          <w:szCs w:val="20"/>
        </w:rPr>
        <w:instrText xml:space="preserve"> REF _Ref16519317 \r \h </w:instrText>
      </w:r>
      <w:r w:rsidR="008D7D4C">
        <w:rPr>
          <w:sz w:val="20"/>
          <w:szCs w:val="20"/>
        </w:rPr>
      </w:r>
      <w:r w:rsidR="008D7D4C">
        <w:rPr>
          <w:sz w:val="20"/>
          <w:szCs w:val="20"/>
        </w:rPr>
        <w:fldChar w:fldCharType="separate"/>
      </w:r>
      <w:r w:rsidR="00A34377">
        <w:rPr>
          <w:sz w:val="20"/>
          <w:szCs w:val="20"/>
        </w:rPr>
        <w:t>[5]</w:t>
      </w:r>
      <w:r w:rsidR="008D7D4C">
        <w:rPr>
          <w:sz w:val="20"/>
          <w:szCs w:val="20"/>
        </w:rPr>
        <w:fldChar w:fldCharType="end"/>
      </w:r>
      <w:r w:rsidRPr="00F22649">
        <w:rPr>
          <w:sz w:val="20"/>
          <w:szCs w:val="20"/>
        </w:rPr>
        <w:t>, making it difficult (if not impossible) to calibrate system level simulators among companies and compare results from different sources.</w:t>
      </w:r>
      <w:bookmarkEnd w:id="11"/>
    </w:p>
    <w:p w14:paraId="6A23695E" w14:textId="7011E33F" w:rsidR="00E5089C" w:rsidRPr="00F22649" w:rsidRDefault="00E5089C" w:rsidP="00117C41">
      <w:pPr>
        <w:jc w:val="both"/>
        <w:rPr>
          <w:rFonts w:ascii="Arial" w:eastAsia="MS Mincho" w:hAnsi="Arial" w:cs="Arial"/>
          <w:sz w:val="20"/>
          <w:szCs w:val="20"/>
        </w:rPr>
      </w:pPr>
      <w:r w:rsidRPr="00F22649">
        <w:rPr>
          <w:rFonts w:ascii="Arial" w:eastAsia="MS Mincho" w:hAnsi="Arial" w:cs="Arial"/>
          <w:sz w:val="20"/>
          <w:szCs w:val="20"/>
        </w:rPr>
        <w:t>It seems too late for RAN1 to agree on a common wrap-around methodology, considering that there are only 2 meetings left (not counting the current meeting) in Rel-16 NTN study.</w:t>
      </w:r>
      <w:r w:rsidR="008F3E9A" w:rsidRPr="001A0440">
        <w:rPr>
          <w:rFonts w:ascii="Arial" w:eastAsia="MS Mincho" w:hAnsi="Arial" w:cs="Arial"/>
          <w:sz w:val="20"/>
          <w:szCs w:val="20"/>
        </w:rPr>
        <w:t xml:space="preserve"> Alternatively, it is worth considering a set up without</w:t>
      </w:r>
      <w:r w:rsidRPr="001A0440">
        <w:rPr>
          <w:rFonts w:ascii="Arial" w:eastAsia="MS Mincho" w:hAnsi="Arial" w:cs="Arial"/>
          <w:sz w:val="20"/>
          <w:szCs w:val="20"/>
        </w:rPr>
        <w:t xml:space="preserve"> </w:t>
      </w:r>
      <w:r w:rsidR="008F3E9A" w:rsidRPr="001A0440">
        <w:rPr>
          <w:rFonts w:ascii="Arial" w:eastAsia="MS Mincho" w:hAnsi="Arial" w:cs="Arial"/>
          <w:sz w:val="20"/>
          <w:szCs w:val="20"/>
        </w:rPr>
        <w:t xml:space="preserve">wrap-around: simulate </w:t>
      </w:r>
      <w:r w:rsidR="00F22649">
        <w:rPr>
          <w:rFonts w:ascii="Arial" w:eastAsia="MS Mincho" w:hAnsi="Arial" w:cs="Arial"/>
          <w:sz w:val="20"/>
          <w:szCs w:val="20"/>
        </w:rPr>
        <w:t>61</w:t>
      </w:r>
      <w:r w:rsidR="00F22649" w:rsidRPr="00F22649">
        <w:rPr>
          <w:rFonts w:ascii="Arial" w:eastAsia="MS Mincho" w:hAnsi="Arial" w:cs="Arial"/>
          <w:sz w:val="20"/>
          <w:szCs w:val="20"/>
        </w:rPr>
        <w:t xml:space="preserve"> </w:t>
      </w:r>
      <w:r w:rsidR="008F3E9A" w:rsidRPr="00F22649">
        <w:rPr>
          <w:rFonts w:ascii="Arial" w:eastAsia="MS Mincho" w:hAnsi="Arial" w:cs="Arial"/>
          <w:sz w:val="20"/>
          <w:szCs w:val="20"/>
        </w:rPr>
        <w:t>beams and collect statistics from the inner 19 beams. The simulation burden would be similar to the typical terrestrial setup, where 57 cells located at 19 sites are simulated.</w:t>
      </w:r>
    </w:p>
    <w:p w14:paraId="2525582A" w14:textId="25C73B22" w:rsidR="00EA45E5" w:rsidRPr="00EB66AE" w:rsidRDefault="00EA45E5" w:rsidP="00EB66AE">
      <w:pPr>
        <w:pStyle w:val="ListParagraph"/>
        <w:ind w:left="0"/>
        <w:jc w:val="both"/>
        <w:rPr>
          <w:rFonts w:ascii="Arial" w:hAnsi="Arial" w:cs="Arial"/>
          <w:sz w:val="20"/>
          <w:szCs w:val="20"/>
        </w:rPr>
      </w:pPr>
      <w:r w:rsidRPr="00EA45E5">
        <w:rPr>
          <w:rFonts w:ascii="Arial" w:hAnsi="Arial" w:cs="Arial"/>
          <w:sz w:val="20"/>
          <w:szCs w:val="20"/>
          <w:lang w:val="en-US"/>
        </w:rPr>
        <w:t xml:space="preserve">An illustration of </w:t>
      </w:r>
      <w:r w:rsidRPr="005F21DE">
        <w:rPr>
          <w:rFonts w:ascii="Arial" w:hAnsi="Arial" w:cs="Arial"/>
          <w:sz w:val="20"/>
          <w:szCs w:val="20"/>
          <w:lang w:val="en-US"/>
        </w:rPr>
        <w:t xml:space="preserve">the proposed </w:t>
      </w:r>
      <w:r>
        <w:rPr>
          <w:rFonts w:ascii="Arial" w:hAnsi="Arial" w:cs="Arial"/>
          <w:sz w:val="20"/>
          <w:szCs w:val="20"/>
          <w:lang w:val="en-US"/>
        </w:rPr>
        <w:t>simulation setup without wrap-around</w:t>
      </w:r>
      <w:r w:rsidRPr="005F21DE">
        <w:rPr>
          <w:rFonts w:ascii="Arial" w:hAnsi="Arial" w:cs="Arial"/>
          <w:sz w:val="20"/>
          <w:szCs w:val="20"/>
          <w:lang w:val="en-US"/>
        </w:rPr>
        <w:t xml:space="preserve"> is given in </w:t>
      </w:r>
      <w:r w:rsidRPr="00EA45E5">
        <w:rPr>
          <w:rFonts w:ascii="Arial" w:hAnsi="Arial" w:cs="Arial"/>
          <w:sz w:val="20"/>
          <w:szCs w:val="20"/>
          <w:lang w:val="en-US"/>
        </w:rPr>
        <w:fldChar w:fldCharType="begin"/>
      </w:r>
      <w:r w:rsidRPr="005F21DE">
        <w:rPr>
          <w:rFonts w:ascii="Arial" w:hAnsi="Arial" w:cs="Arial"/>
          <w:sz w:val="20"/>
          <w:szCs w:val="20"/>
          <w:lang w:val="en-US"/>
        </w:rPr>
        <w:instrText xml:space="preserve"> REF _Ref16686255 \h  \* MERGEFORMAT </w:instrText>
      </w:r>
      <w:r w:rsidRPr="00EA45E5">
        <w:rPr>
          <w:rFonts w:ascii="Arial" w:hAnsi="Arial" w:cs="Arial"/>
          <w:sz w:val="20"/>
          <w:szCs w:val="20"/>
          <w:lang w:val="en-US"/>
        </w:rPr>
      </w:r>
      <w:r w:rsidRPr="00EA45E5">
        <w:rPr>
          <w:rFonts w:ascii="Arial" w:hAnsi="Arial" w:cs="Arial"/>
          <w:sz w:val="20"/>
          <w:szCs w:val="20"/>
          <w:lang w:val="en-US"/>
        </w:rPr>
        <w:fldChar w:fldCharType="separate"/>
      </w:r>
      <w:r w:rsidR="00A34377" w:rsidRPr="00A34377">
        <w:rPr>
          <w:rFonts w:ascii="Arial" w:hAnsi="Arial" w:cs="Arial"/>
          <w:sz w:val="20"/>
          <w:szCs w:val="20"/>
        </w:rPr>
        <w:t xml:space="preserve">Figure </w:t>
      </w:r>
      <w:r w:rsidR="00A34377" w:rsidRPr="00A34377">
        <w:rPr>
          <w:rFonts w:ascii="Arial" w:hAnsi="Arial" w:cs="Arial"/>
          <w:noProof/>
          <w:sz w:val="20"/>
          <w:szCs w:val="20"/>
        </w:rPr>
        <w:t>3</w:t>
      </w:r>
      <w:r w:rsidRPr="00EA45E5">
        <w:rPr>
          <w:rFonts w:ascii="Arial" w:hAnsi="Arial" w:cs="Arial"/>
          <w:sz w:val="20"/>
          <w:szCs w:val="20"/>
          <w:lang w:val="en-US"/>
        </w:rPr>
        <w:fldChar w:fldCharType="end"/>
      </w:r>
      <w:r w:rsidR="00FB014A">
        <w:rPr>
          <w:rFonts w:ascii="Arial" w:hAnsi="Arial" w:cs="Arial"/>
          <w:sz w:val="20"/>
          <w:szCs w:val="20"/>
          <w:lang w:val="en-US"/>
        </w:rPr>
        <w:t xml:space="preserve"> in Section </w:t>
      </w:r>
      <w:r w:rsidR="00FB014A">
        <w:rPr>
          <w:rFonts w:ascii="Arial" w:hAnsi="Arial" w:cs="Arial"/>
          <w:sz w:val="20"/>
          <w:szCs w:val="20"/>
          <w:lang w:val="en-US"/>
        </w:rPr>
        <w:fldChar w:fldCharType="begin"/>
      </w:r>
      <w:r w:rsidR="00FB014A">
        <w:rPr>
          <w:rFonts w:ascii="Arial" w:hAnsi="Arial" w:cs="Arial"/>
          <w:sz w:val="20"/>
          <w:szCs w:val="20"/>
          <w:lang w:val="en-US"/>
        </w:rPr>
        <w:instrText xml:space="preserve"> REF _Ref16838972 \r \h </w:instrText>
      </w:r>
      <w:r w:rsidR="00FB014A">
        <w:rPr>
          <w:rFonts w:ascii="Arial" w:hAnsi="Arial" w:cs="Arial"/>
          <w:sz w:val="20"/>
          <w:szCs w:val="20"/>
          <w:lang w:val="en-US"/>
        </w:rPr>
      </w:r>
      <w:r w:rsidR="00FB014A">
        <w:rPr>
          <w:rFonts w:ascii="Arial" w:hAnsi="Arial" w:cs="Arial"/>
          <w:sz w:val="20"/>
          <w:szCs w:val="20"/>
          <w:lang w:val="en-US"/>
        </w:rPr>
        <w:fldChar w:fldCharType="separate"/>
      </w:r>
      <w:r w:rsidR="00A34377">
        <w:rPr>
          <w:rFonts w:ascii="Arial" w:hAnsi="Arial" w:cs="Arial"/>
          <w:sz w:val="20"/>
          <w:szCs w:val="20"/>
          <w:lang w:val="en-US"/>
        </w:rPr>
        <w:t>4</w:t>
      </w:r>
      <w:r w:rsidR="00FB014A">
        <w:rPr>
          <w:rFonts w:ascii="Arial" w:hAnsi="Arial" w:cs="Arial"/>
          <w:sz w:val="20"/>
          <w:szCs w:val="20"/>
          <w:lang w:val="en-US"/>
        </w:rPr>
        <w:fldChar w:fldCharType="end"/>
      </w:r>
      <w:r w:rsidRPr="00EA45E5">
        <w:rPr>
          <w:rFonts w:ascii="Arial" w:hAnsi="Arial" w:cs="Arial"/>
          <w:sz w:val="20"/>
          <w:szCs w:val="20"/>
          <w:lang w:val="en-US"/>
        </w:rPr>
        <w:t>.</w:t>
      </w:r>
    </w:p>
    <w:p w14:paraId="4809A3DE" w14:textId="0C00A279" w:rsidR="00117C41" w:rsidRPr="001A0440" w:rsidRDefault="00117C41" w:rsidP="00117C41">
      <w:pPr>
        <w:pStyle w:val="Proposal"/>
        <w:rPr>
          <w:sz w:val="20"/>
          <w:szCs w:val="20"/>
        </w:rPr>
      </w:pPr>
      <w:bookmarkStart w:id="12" w:name="_Toc16839631"/>
      <w:r w:rsidRPr="008F4B54">
        <w:rPr>
          <w:sz w:val="20"/>
          <w:szCs w:val="20"/>
        </w:rPr>
        <w:t>RAN1 to</w:t>
      </w:r>
      <w:r w:rsidR="008F3E9A" w:rsidRPr="008F4B54">
        <w:rPr>
          <w:sz w:val="20"/>
          <w:szCs w:val="20"/>
        </w:rPr>
        <w:t xml:space="preserve"> assume an NTN system simulation setup without wrap-around: simulate </w:t>
      </w:r>
      <w:r w:rsidR="001A0440">
        <w:rPr>
          <w:sz w:val="20"/>
          <w:szCs w:val="20"/>
        </w:rPr>
        <w:t>61</w:t>
      </w:r>
      <w:r w:rsidR="001A0440" w:rsidRPr="001A0440">
        <w:rPr>
          <w:sz w:val="20"/>
          <w:szCs w:val="20"/>
        </w:rPr>
        <w:t xml:space="preserve"> </w:t>
      </w:r>
      <w:r w:rsidR="008F3E9A" w:rsidRPr="001A0440">
        <w:rPr>
          <w:sz w:val="20"/>
          <w:szCs w:val="20"/>
        </w:rPr>
        <w:t>beams and collect statistics from the inner 19 beams</w:t>
      </w:r>
      <w:r w:rsidRPr="001A0440">
        <w:rPr>
          <w:sz w:val="20"/>
          <w:szCs w:val="20"/>
        </w:rPr>
        <w:t>.</w:t>
      </w:r>
      <w:bookmarkEnd w:id="12"/>
    </w:p>
    <w:p w14:paraId="3B797442" w14:textId="61F8E99D" w:rsidR="00117C41" w:rsidRDefault="00117C41" w:rsidP="00117C41">
      <w:pPr>
        <w:pStyle w:val="Heading2"/>
      </w:pPr>
      <w:r>
        <w:t>2.</w:t>
      </w:r>
      <w:r w:rsidR="00926E1E">
        <w:t>6</w:t>
      </w:r>
      <w:r>
        <w:tab/>
        <w:t>NTN channel models</w:t>
      </w:r>
    </w:p>
    <w:p w14:paraId="1ADDE95F" w14:textId="1FDE2981" w:rsidR="00117C41" w:rsidRPr="00F22649" w:rsidRDefault="006B5083" w:rsidP="006B5083">
      <w:pPr>
        <w:jc w:val="both"/>
        <w:rPr>
          <w:rFonts w:ascii="Arial" w:hAnsi="Arial" w:cs="Arial"/>
          <w:sz w:val="20"/>
          <w:szCs w:val="20"/>
          <w:lang w:eastAsia="ja-JP"/>
        </w:rPr>
      </w:pPr>
      <w:r w:rsidRPr="00F22649">
        <w:rPr>
          <w:rFonts w:ascii="Arial" w:hAnsi="Arial" w:cs="Arial"/>
          <w:sz w:val="20"/>
          <w:szCs w:val="20"/>
          <w:lang w:eastAsia="ja-JP"/>
        </w:rPr>
        <w:t xml:space="preserve">It was claimed that the NTN channel models in TR 38.811 V15.0.0 were deficient </w:t>
      </w:r>
      <w:r>
        <w:rPr>
          <w:rFonts w:ascii="Arial" w:hAnsi="Arial" w:cs="Arial"/>
          <w:sz w:val="20"/>
          <w:szCs w:val="20"/>
          <w:lang w:eastAsia="ja-JP"/>
        </w:rPr>
        <w:fldChar w:fldCharType="begin"/>
      </w:r>
      <w:r w:rsidRPr="00C76E89">
        <w:rPr>
          <w:rFonts w:ascii="Arial" w:hAnsi="Arial" w:cs="Arial"/>
          <w:sz w:val="20"/>
          <w:szCs w:val="20"/>
          <w:lang w:eastAsia="ja-JP"/>
        </w:rPr>
        <w:instrText xml:space="preserve"> REF _Ref14945328 \r \h  \* MERGEFORMAT </w:instrText>
      </w:r>
      <w:r>
        <w:rPr>
          <w:rFonts w:ascii="Arial" w:hAnsi="Arial" w:cs="Arial"/>
          <w:sz w:val="20"/>
          <w:szCs w:val="20"/>
          <w:lang w:eastAsia="ja-JP"/>
        </w:rPr>
      </w:r>
      <w:r>
        <w:rPr>
          <w:rFonts w:ascii="Arial" w:hAnsi="Arial" w:cs="Arial"/>
          <w:sz w:val="20"/>
          <w:szCs w:val="20"/>
          <w:lang w:eastAsia="ja-JP"/>
        </w:rPr>
        <w:fldChar w:fldCharType="separate"/>
      </w:r>
      <w:r w:rsidR="00A34377">
        <w:rPr>
          <w:rFonts w:ascii="Arial" w:hAnsi="Arial" w:cs="Arial"/>
          <w:sz w:val="20"/>
          <w:szCs w:val="20"/>
          <w:lang w:eastAsia="ja-JP"/>
        </w:rPr>
        <w:t>[4]</w:t>
      </w:r>
      <w:r>
        <w:rPr>
          <w:rFonts w:ascii="Arial" w:hAnsi="Arial" w:cs="Arial"/>
          <w:sz w:val="20"/>
          <w:szCs w:val="20"/>
          <w:lang w:eastAsia="ja-JP"/>
        </w:rPr>
        <w:fldChar w:fldCharType="end"/>
      </w:r>
      <w:r w:rsidRPr="00F22649">
        <w:rPr>
          <w:rFonts w:ascii="Arial" w:hAnsi="Arial" w:cs="Arial"/>
          <w:sz w:val="20"/>
          <w:szCs w:val="20"/>
          <w:lang w:eastAsia="ja-JP"/>
        </w:rPr>
        <w:t xml:space="preserve">. The discussions resulted in that the corrections in R1-1907788 </w:t>
      </w:r>
      <w:r>
        <w:rPr>
          <w:rFonts w:ascii="Arial" w:hAnsi="Arial" w:cs="Arial"/>
          <w:sz w:val="20"/>
          <w:szCs w:val="20"/>
          <w:lang w:eastAsia="ja-JP"/>
        </w:rPr>
        <w:fldChar w:fldCharType="begin"/>
      </w:r>
      <w:r w:rsidRPr="00C76E89">
        <w:rPr>
          <w:rFonts w:ascii="Arial" w:hAnsi="Arial" w:cs="Arial"/>
          <w:sz w:val="20"/>
          <w:szCs w:val="20"/>
          <w:lang w:eastAsia="ja-JP"/>
        </w:rPr>
        <w:instrText xml:space="preserve"> REF _Ref14945328 \r \h  \* MERGEFORMAT </w:instrText>
      </w:r>
      <w:r>
        <w:rPr>
          <w:rFonts w:ascii="Arial" w:hAnsi="Arial" w:cs="Arial"/>
          <w:sz w:val="20"/>
          <w:szCs w:val="20"/>
          <w:lang w:eastAsia="ja-JP"/>
        </w:rPr>
      </w:r>
      <w:r>
        <w:rPr>
          <w:rFonts w:ascii="Arial" w:hAnsi="Arial" w:cs="Arial"/>
          <w:sz w:val="20"/>
          <w:szCs w:val="20"/>
          <w:lang w:eastAsia="ja-JP"/>
        </w:rPr>
        <w:fldChar w:fldCharType="separate"/>
      </w:r>
      <w:r w:rsidR="00A34377">
        <w:rPr>
          <w:rFonts w:ascii="Arial" w:hAnsi="Arial" w:cs="Arial"/>
          <w:sz w:val="20"/>
          <w:szCs w:val="20"/>
          <w:lang w:eastAsia="ja-JP"/>
        </w:rPr>
        <w:t>[4]</w:t>
      </w:r>
      <w:r>
        <w:rPr>
          <w:rFonts w:ascii="Arial" w:hAnsi="Arial" w:cs="Arial"/>
          <w:sz w:val="20"/>
          <w:szCs w:val="20"/>
          <w:lang w:eastAsia="ja-JP"/>
        </w:rPr>
        <w:fldChar w:fldCharType="end"/>
      </w:r>
      <w:r w:rsidRPr="00F22649">
        <w:rPr>
          <w:rFonts w:ascii="Arial" w:hAnsi="Arial" w:cs="Arial"/>
          <w:sz w:val="20"/>
          <w:szCs w:val="20"/>
          <w:lang w:eastAsia="ja-JP"/>
        </w:rPr>
        <w:t xml:space="preserve"> were endorsed at RAN1#</w:t>
      </w:r>
      <w:r w:rsidR="0028542E" w:rsidRPr="00F22649">
        <w:rPr>
          <w:rFonts w:ascii="Arial" w:hAnsi="Arial" w:cs="Arial"/>
          <w:sz w:val="20"/>
          <w:szCs w:val="20"/>
          <w:lang w:eastAsia="ja-JP"/>
        </w:rPr>
        <w:t>9</w:t>
      </w:r>
      <w:r w:rsidRPr="00F22649">
        <w:rPr>
          <w:rFonts w:ascii="Arial" w:hAnsi="Arial" w:cs="Arial"/>
          <w:sz w:val="20"/>
          <w:szCs w:val="20"/>
          <w:lang w:eastAsia="ja-JP"/>
        </w:rPr>
        <w:t xml:space="preserve">7 and a corresponding LS to RAN was approved. This in the end led to the creation of a new version of TR 38.811 V15.1.0. </w:t>
      </w:r>
    </w:p>
    <w:p w14:paraId="77ACD83A" w14:textId="59DEDA69" w:rsidR="0028542E" w:rsidRPr="00F22649" w:rsidRDefault="006B5083" w:rsidP="0028542E">
      <w:pPr>
        <w:jc w:val="both"/>
        <w:rPr>
          <w:rFonts w:ascii="Arial" w:hAnsi="Arial" w:cs="Arial"/>
          <w:sz w:val="20"/>
          <w:szCs w:val="20"/>
          <w:lang w:eastAsia="ja-JP"/>
        </w:rPr>
      </w:pPr>
      <w:r w:rsidRPr="001A0440">
        <w:rPr>
          <w:rFonts w:ascii="Arial" w:hAnsi="Arial" w:cs="Arial"/>
          <w:sz w:val="20"/>
          <w:szCs w:val="20"/>
          <w:lang w:eastAsia="ja-JP"/>
        </w:rPr>
        <w:t xml:space="preserve">We have </w:t>
      </w:r>
      <w:r w:rsidR="0028542E" w:rsidRPr="001A0440">
        <w:rPr>
          <w:rFonts w:ascii="Arial" w:hAnsi="Arial" w:cs="Arial"/>
          <w:sz w:val="20"/>
          <w:szCs w:val="20"/>
          <w:lang w:eastAsia="ja-JP"/>
        </w:rPr>
        <w:t>tried</w:t>
      </w:r>
      <w:r w:rsidRPr="001A0440">
        <w:rPr>
          <w:rFonts w:ascii="Arial" w:hAnsi="Arial" w:cs="Arial"/>
          <w:sz w:val="20"/>
          <w:szCs w:val="20"/>
          <w:lang w:eastAsia="ja-JP"/>
        </w:rPr>
        <w:t xml:space="preserve"> to implement the </w:t>
      </w:r>
      <w:r w:rsidR="0028542E" w:rsidRPr="001A0440">
        <w:rPr>
          <w:rFonts w:ascii="Arial" w:hAnsi="Arial" w:cs="Arial"/>
          <w:sz w:val="20"/>
          <w:szCs w:val="20"/>
          <w:lang w:eastAsia="ja-JP"/>
        </w:rPr>
        <w:t xml:space="preserve">updated NTN </w:t>
      </w:r>
      <w:r w:rsidRPr="001A0440">
        <w:rPr>
          <w:rFonts w:ascii="Arial" w:hAnsi="Arial" w:cs="Arial"/>
          <w:sz w:val="20"/>
          <w:szCs w:val="20"/>
          <w:lang w:eastAsia="ja-JP"/>
        </w:rPr>
        <w:t xml:space="preserve">channel models </w:t>
      </w:r>
      <w:r w:rsidR="0028542E" w:rsidRPr="001A0440">
        <w:rPr>
          <w:rFonts w:ascii="Arial" w:hAnsi="Arial" w:cs="Arial"/>
          <w:sz w:val="20"/>
          <w:szCs w:val="20"/>
          <w:lang w:eastAsia="ja-JP"/>
        </w:rPr>
        <w:t xml:space="preserve">in TR 38.811 V15.1.0 and find that the channel models are problematic. </w:t>
      </w:r>
      <w:r w:rsidR="0028542E" w:rsidRPr="001A0440">
        <w:rPr>
          <w:rFonts w:ascii="Arial" w:hAnsi="Arial" w:cs="Arial"/>
          <w:sz w:val="20"/>
          <w:szCs w:val="20"/>
        </w:rPr>
        <w:t xml:space="preserve">For example, consider a cross-correlations matrix “C” </w:t>
      </w:r>
      <w:r w:rsidR="0028542E" w:rsidRPr="001A0440">
        <w:rPr>
          <w:rFonts w:ascii="Arial" w:hAnsi="Arial" w:cs="Arial"/>
          <w:color w:val="000000"/>
          <w:sz w:val="20"/>
          <w:szCs w:val="20"/>
        </w:rPr>
        <w:t>of the form</w:t>
      </w:r>
      <w:r w:rsidR="001D7906" w:rsidRPr="00F22649">
        <w:rPr>
          <w:rFonts w:ascii="Arial" w:hAnsi="Arial" w:cs="Arial"/>
          <w:color w:val="000000"/>
          <w:sz w:val="20"/>
          <w:szCs w:val="20"/>
        </w:rPr>
        <w:t xml:space="preserve"> (c.f. </w:t>
      </w:r>
      <w:r w:rsidR="00FB014A">
        <w:rPr>
          <w:rFonts w:ascii="Arial" w:hAnsi="Arial" w:cs="Arial"/>
          <w:color w:val="000000"/>
          <w:sz w:val="20"/>
          <w:szCs w:val="20"/>
        </w:rPr>
        <w:t>S</w:t>
      </w:r>
      <w:r w:rsidR="001D7906" w:rsidRPr="00F22649">
        <w:rPr>
          <w:rFonts w:ascii="Arial" w:hAnsi="Arial" w:cs="Arial"/>
          <w:color w:val="000000"/>
          <w:sz w:val="20"/>
          <w:szCs w:val="20"/>
        </w:rPr>
        <w:t xml:space="preserve">tep 4 in Section 7.5 in TR 38.901 </w:t>
      </w:r>
      <w:r w:rsidR="001D7906">
        <w:rPr>
          <w:rFonts w:ascii="Arial" w:hAnsi="Arial" w:cs="Arial"/>
          <w:color w:val="000000"/>
          <w:sz w:val="20"/>
          <w:szCs w:val="20"/>
        </w:rPr>
        <w:fldChar w:fldCharType="begin"/>
      </w:r>
      <w:r w:rsidR="001D7906" w:rsidRPr="00C76E89">
        <w:rPr>
          <w:rFonts w:ascii="Arial" w:hAnsi="Arial" w:cs="Arial"/>
          <w:color w:val="000000"/>
          <w:sz w:val="20"/>
          <w:szCs w:val="20"/>
        </w:rPr>
        <w:instrText xml:space="preserve"> REF _Ref16594758 \r \h </w:instrText>
      </w:r>
      <w:r w:rsidR="001D7906">
        <w:rPr>
          <w:rFonts w:ascii="Arial" w:hAnsi="Arial" w:cs="Arial"/>
          <w:color w:val="000000"/>
          <w:sz w:val="20"/>
          <w:szCs w:val="20"/>
        </w:rPr>
      </w:r>
      <w:r w:rsidR="001D7906">
        <w:rPr>
          <w:rFonts w:ascii="Arial" w:hAnsi="Arial" w:cs="Arial"/>
          <w:color w:val="000000"/>
          <w:sz w:val="20"/>
          <w:szCs w:val="20"/>
        </w:rPr>
        <w:fldChar w:fldCharType="separate"/>
      </w:r>
      <w:r w:rsidR="00A34377">
        <w:rPr>
          <w:rFonts w:ascii="Arial" w:hAnsi="Arial" w:cs="Arial"/>
          <w:color w:val="000000"/>
          <w:sz w:val="20"/>
          <w:szCs w:val="20"/>
        </w:rPr>
        <w:t>[6]</w:t>
      </w:r>
      <w:r w:rsidR="001D7906">
        <w:rPr>
          <w:rFonts w:ascii="Arial" w:hAnsi="Arial" w:cs="Arial"/>
          <w:color w:val="000000"/>
          <w:sz w:val="20"/>
          <w:szCs w:val="20"/>
        </w:rPr>
        <w:fldChar w:fldCharType="end"/>
      </w:r>
      <w:r w:rsidR="001D7906" w:rsidRPr="00F22649">
        <w:rPr>
          <w:rFonts w:ascii="Arial" w:hAnsi="Arial" w:cs="Arial"/>
          <w:color w:val="000000"/>
          <w:sz w:val="20"/>
          <w:szCs w:val="20"/>
        </w:rPr>
        <w:t>):</w:t>
      </w:r>
    </w:p>
    <w:p w14:paraId="4AE5B155" w14:textId="6794D497" w:rsidR="001B249F" w:rsidRPr="008F4B54" w:rsidRDefault="0028542E" w:rsidP="00DD5DC8">
      <w:pPr>
        <w:autoSpaceDE w:val="0"/>
        <w:autoSpaceDN w:val="0"/>
        <w:ind w:left="1701"/>
        <w:rPr>
          <w:rFonts w:ascii="Arial" w:hAnsi="Arial" w:cs="Arial"/>
          <w:sz w:val="20"/>
          <w:szCs w:val="20"/>
        </w:rPr>
      </w:pPr>
      <w:r w:rsidRPr="00F22649">
        <w:rPr>
          <w:rFonts w:ascii="Arial" w:hAnsi="Arial" w:cs="Arial"/>
          <w:sz w:val="20"/>
          <w:szCs w:val="20"/>
        </w:rPr>
        <w:t>'1'</w:t>
      </w:r>
      <w:r w:rsidR="001B249F" w:rsidRPr="008F4B54">
        <w:rPr>
          <w:rFonts w:ascii="Arial" w:hAnsi="Arial" w:cs="Arial"/>
          <w:sz w:val="20"/>
          <w:szCs w:val="20"/>
        </w:rPr>
        <w:tab/>
      </w:r>
      <w:r w:rsidR="001B249F" w:rsidRPr="008F4B54">
        <w:rPr>
          <w:rFonts w:ascii="Arial" w:hAnsi="Arial" w:cs="Arial"/>
          <w:sz w:val="20"/>
          <w:szCs w:val="20"/>
        </w:rPr>
        <w:tab/>
      </w:r>
      <w:r w:rsidRPr="008F4B54">
        <w:rPr>
          <w:rFonts w:ascii="Arial" w:hAnsi="Arial" w:cs="Arial"/>
          <w:sz w:val="20"/>
          <w:szCs w:val="20"/>
        </w:rPr>
        <w:t>'</w:t>
      </w:r>
      <w:proofErr w:type="spellStart"/>
      <w:r w:rsidRPr="008F4B54">
        <w:rPr>
          <w:rFonts w:ascii="Arial" w:hAnsi="Arial" w:cs="Arial"/>
          <w:sz w:val="20"/>
          <w:szCs w:val="20"/>
        </w:rPr>
        <w:t>DS</w:t>
      </w:r>
      <w:r w:rsidR="001123A7" w:rsidRPr="008F4B54">
        <w:rPr>
          <w:rFonts w:ascii="Arial" w:hAnsi="Arial" w:cs="Arial"/>
          <w:sz w:val="20"/>
          <w:szCs w:val="20"/>
        </w:rPr>
        <w:t>vsS</w:t>
      </w:r>
      <w:r w:rsidRPr="008F4B54">
        <w:rPr>
          <w:rFonts w:ascii="Arial" w:hAnsi="Arial" w:cs="Arial"/>
          <w:sz w:val="20"/>
          <w:szCs w:val="20"/>
        </w:rPr>
        <w:t>F</w:t>
      </w:r>
      <w:proofErr w:type="spellEnd"/>
      <w:r w:rsidRPr="008F4B54">
        <w:rPr>
          <w:rFonts w:ascii="Arial" w:hAnsi="Arial" w:cs="Arial"/>
          <w:sz w:val="20"/>
          <w:szCs w:val="20"/>
        </w:rPr>
        <w:t>'</w:t>
      </w:r>
      <w:r w:rsidR="001B249F" w:rsidRPr="008F4B54">
        <w:rPr>
          <w:rFonts w:ascii="Arial" w:hAnsi="Arial" w:cs="Arial"/>
          <w:sz w:val="20"/>
          <w:szCs w:val="20"/>
        </w:rPr>
        <w:tab/>
      </w:r>
      <w:r w:rsidRPr="008F4B54">
        <w:rPr>
          <w:rFonts w:ascii="Arial" w:hAnsi="Arial" w:cs="Arial"/>
          <w:sz w:val="20"/>
          <w:szCs w:val="20"/>
        </w:rPr>
        <w:t>'</w:t>
      </w:r>
      <w:proofErr w:type="spellStart"/>
      <w:r w:rsidRPr="008F4B54">
        <w:rPr>
          <w:rFonts w:ascii="Arial" w:hAnsi="Arial" w:cs="Arial"/>
          <w:sz w:val="20"/>
          <w:szCs w:val="20"/>
        </w:rPr>
        <w:t>ASD</w:t>
      </w:r>
      <w:r w:rsidR="001123A7" w:rsidRPr="008F4B54">
        <w:rPr>
          <w:rFonts w:ascii="Arial" w:hAnsi="Arial" w:cs="Arial"/>
          <w:sz w:val="20"/>
          <w:szCs w:val="20"/>
        </w:rPr>
        <w:t>vs</w:t>
      </w:r>
      <w:r w:rsidRPr="008F4B54">
        <w:rPr>
          <w:rFonts w:ascii="Arial" w:hAnsi="Arial" w:cs="Arial"/>
          <w:sz w:val="20"/>
          <w:szCs w:val="20"/>
        </w:rPr>
        <w:t>SF</w:t>
      </w:r>
      <w:proofErr w:type="spellEnd"/>
      <w:r w:rsidRPr="008F4B54">
        <w:rPr>
          <w:rFonts w:ascii="Arial" w:hAnsi="Arial" w:cs="Arial"/>
          <w:sz w:val="20"/>
          <w:szCs w:val="20"/>
        </w:rPr>
        <w:t>'</w:t>
      </w:r>
      <w:r w:rsidR="001B249F" w:rsidRPr="008F4B54">
        <w:rPr>
          <w:rFonts w:ascii="Arial" w:hAnsi="Arial" w:cs="Arial"/>
          <w:sz w:val="20"/>
          <w:szCs w:val="20"/>
        </w:rPr>
        <w:tab/>
      </w:r>
      <w:r w:rsidRPr="008F4B54">
        <w:rPr>
          <w:rFonts w:ascii="Arial" w:hAnsi="Arial" w:cs="Arial"/>
          <w:sz w:val="20"/>
          <w:szCs w:val="20"/>
        </w:rPr>
        <w:t>'</w:t>
      </w:r>
      <w:proofErr w:type="spellStart"/>
      <w:r w:rsidRPr="008F4B54">
        <w:rPr>
          <w:rFonts w:ascii="Arial" w:hAnsi="Arial" w:cs="Arial"/>
          <w:sz w:val="20"/>
          <w:szCs w:val="20"/>
        </w:rPr>
        <w:t>ASA</w:t>
      </w:r>
      <w:r w:rsidR="001123A7" w:rsidRPr="008F4B54">
        <w:rPr>
          <w:rFonts w:ascii="Arial" w:hAnsi="Arial" w:cs="Arial"/>
          <w:sz w:val="20"/>
          <w:szCs w:val="20"/>
        </w:rPr>
        <w:t>vs</w:t>
      </w:r>
      <w:r w:rsidRPr="008F4B54">
        <w:rPr>
          <w:rFonts w:ascii="Arial" w:hAnsi="Arial" w:cs="Arial"/>
          <w:sz w:val="20"/>
          <w:szCs w:val="20"/>
        </w:rPr>
        <w:t>SF</w:t>
      </w:r>
      <w:proofErr w:type="spellEnd"/>
      <w:r w:rsidRPr="008F4B54">
        <w:rPr>
          <w:rFonts w:ascii="Arial" w:hAnsi="Arial" w:cs="Arial"/>
          <w:sz w:val="20"/>
          <w:szCs w:val="20"/>
        </w:rPr>
        <w:t>'</w:t>
      </w:r>
      <w:r w:rsidR="001B249F" w:rsidRPr="008F4B54">
        <w:rPr>
          <w:rFonts w:ascii="Arial" w:hAnsi="Arial" w:cs="Arial"/>
          <w:sz w:val="20"/>
          <w:szCs w:val="20"/>
        </w:rPr>
        <w:tab/>
      </w:r>
      <w:r w:rsidRPr="008F4B54">
        <w:rPr>
          <w:rFonts w:ascii="Arial" w:hAnsi="Arial" w:cs="Arial"/>
          <w:sz w:val="20"/>
          <w:szCs w:val="20"/>
        </w:rPr>
        <w:t>'</w:t>
      </w:r>
      <w:proofErr w:type="spellStart"/>
      <w:r w:rsidRPr="008F4B54">
        <w:rPr>
          <w:rFonts w:ascii="Arial" w:hAnsi="Arial" w:cs="Arial"/>
          <w:sz w:val="20"/>
          <w:szCs w:val="20"/>
        </w:rPr>
        <w:t>ZSD</w:t>
      </w:r>
      <w:r w:rsidR="001123A7" w:rsidRPr="008F4B54">
        <w:rPr>
          <w:rFonts w:ascii="Arial" w:hAnsi="Arial" w:cs="Arial"/>
          <w:sz w:val="20"/>
          <w:szCs w:val="20"/>
        </w:rPr>
        <w:t>vs</w:t>
      </w:r>
      <w:r w:rsidRPr="008F4B54">
        <w:rPr>
          <w:rFonts w:ascii="Arial" w:hAnsi="Arial" w:cs="Arial"/>
          <w:sz w:val="20"/>
          <w:szCs w:val="20"/>
        </w:rPr>
        <w:t>SF</w:t>
      </w:r>
      <w:proofErr w:type="spellEnd"/>
      <w:r w:rsidRPr="008F4B54">
        <w:rPr>
          <w:rFonts w:ascii="Arial" w:hAnsi="Arial" w:cs="Arial"/>
          <w:sz w:val="20"/>
          <w:szCs w:val="20"/>
        </w:rPr>
        <w:t>'</w:t>
      </w:r>
      <w:r w:rsidR="001B249F" w:rsidRPr="008F4B54">
        <w:rPr>
          <w:rFonts w:ascii="Arial" w:hAnsi="Arial" w:cs="Arial"/>
          <w:sz w:val="20"/>
          <w:szCs w:val="20"/>
        </w:rPr>
        <w:tab/>
      </w:r>
      <w:r w:rsidRPr="008F4B54">
        <w:rPr>
          <w:rFonts w:ascii="Arial" w:hAnsi="Arial" w:cs="Arial"/>
          <w:sz w:val="20"/>
          <w:szCs w:val="20"/>
        </w:rPr>
        <w:t>'</w:t>
      </w:r>
      <w:proofErr w:type="spellStart"/>
      <w:r w:rsidRPr="008F4B54">
        <w:rPr>
          <w:rFonts w:ascii="Arial" w:hAnsi="Arial" w:cs="Arial"/>
          <w:sz w:val="20"/>
          <w:szCs w:val="20"/>
        </w:rPr>
        <w:t>ZSA</w:t>
      </w:r>
      <w:r w:rsidR="001123A7" w:rsidRPr="008F4B54">
        <w:rPr>
          <w:rFonts w:ascii="Arial" w:hAnsi="Arial" w:cs="Arial"/>
          <w:sz w:val="20"/>
          <w:szCs w:val="20"/>
        </w:rPr>
        <w:t>vs</w:t>
      </w:r>
      <w:r w:rsidRPr="008F4B54">
        <w:rPr>
          <w:rFonts w:ascii="Arial" w:hAnsi="Arial" w:cs="Arial"/>
          <w:sz w:val="20"/>
          <w:szCs w:val="20"/>
        </w:rPr>
        <w:t>SF</w:t>
      </w:r>
      <w:proofErr w:type="spellEnd"/>
      <w:r w:rsidRPr="008F4B54">
        <w:rPr>
          <w:rFonts w:ascii="Arial" w:hAnsi="Arial" w:cs="Arial"/>
          <w:sz w:val="20"/>
          <w:szCs w:val="20"/>
        </w:rPr>
        <w:t>'</w:t>
      </w:r>
    </w:p>
    <w:p w14:paraId="618ED937" w14:textId="2E3F6AAF" w:rsidR="0028542E" w:rsidRPr="008F4B54" w:rsidRDefault="0028542E" w:rsidP="00DD5DC8">
      <w:pPr>
        <w:autoSpaceDE w:val="0"/>
        <w:autoSpaceDN w:val="0"/>
        <w:ind w:left="1701"/>
        <w:rPr>
          <w:rFonts w:ascii="Arial" w:hAnsi="Arial" w:cs="Arial"/>
          <w:sz w:val="20"/>
          <w:szCs w:val="20"/>
        </w:rPr>
      </w:pPr>
      <w:r w:rsidRPr="008F4B54">
        <w:rPr>
          <w:rFonts w:ascii="Arial" w:hAnsi="Arial" w:cs="Arial"/>
          <w:sz w:val="20"/>
          <w:szCs w:val="20"/>
        </w:rPr>
        <w:t>'</w:t>
      </w:r>
      <w:proofErr w:type="spellStart"/>
      <w:r w:rsidRPr="008F4B54">
        <w:rPr>
          <w:rFonts w:ascii="Arial" w:hAnsi="Arial" w:cs="Arial"/>
          <w:sz w:val="20"/>
          <w:szCs w:val="20"/>
        </w:rPr>
        <w:t>DS</w:t>
      </w:r>
      <w:r w:rsidR="001123A7" w:rsidRPr="008F4B54">
        <w:rPr>
          <w:rFonts w:ascii="Arial" w:hAnsi="Arial" w:cs="Arial"/>
          <w:sz w:val="20"/>
          <w:szCs w:val="20"/>
        </w:rPr>
        <w:t>vs</w:t>
      </w:r>
      <w:r w:rsidRPr="008F4B54">
        <w:rPr>
          <w:rFonts w:ascii="Arial" w:hAnsi="Arial" w:cs="Arial"/>
          <w:sz w:val="20"/>
          <w:szCs w:val="20"/>
        </w:rPr>
        <w:t>SF</w:t>
      </w:r>
      <w:proofErr w:type="spellEnd"/>
      <w:r w:rsidRPr="008F4B54">
        <w:rPr>
          <w:rFonts w:ascii="Arial" w:hAnsi="Arial" w:cs="Arial"/>
          <w:sz w:val="20"/>
          <w:szCs w:val="20"/>
        </w:rPr>
        <w:t>'</w:t>
      </w:r>
      <w:r w:rsidR="001B249F" w:rsidRPr="008F4B54">
        <w:rPr>
          <w:rFonts w:ascii="Arial" w:hAnsi="Arial" w:cs="Arial"/>
          <w:sz w:val="20"/>
          <w:szCs w:val="20"/>
        </w:rPr>
        <w:tab/>
      </w:r>
      <w:r w:rsidRPr="008F4B54">
        <w:rPr>
          <w:rFonts w:ascii="Arial" w:hAnsi="Arial" w:cs="Arial"/>
          <w:sz w:val="20"/>
          <w:szCs w:val="20"/>
        </w:rPr>
        <w:t>'1'</w:t>
      </w:r>
      <w:r w:rsidR="001B249F" w:rsidRPr="008F4B54">
        <w:rPr>
          <w:rFonts w:ascii="Arial" w:hAnsi="Arial" w:cs="Arial"/>
          <w:sz w:val="20"/>
          <w:szCs w:val="20"/>
        </w:rPr>
        <w:tab/>
      </w:r>
      <w:r w:rsidR="001B249F" w:rsidRPr="008F4B54">
        <w:rPr>
          <w:rFonts w:ascii="Arial" w:hAnsi="Arial" w:cs="Arial"/>
          <w:sz w:val="20"/>
          <w:szCs w:val="20"/>
        </w:rPr>
        <w:tab/>
      </w:r>
      <w:r w:rsidRPr="008F4B54">
        <w:rPr>
          <w:rFonts w:ascii="Arial" w:hAnsi="Arial" w:cs="Arial"/>
          <w:sz w:val="20"/>
          <w:szCs w:val="20"/>
        </w:rPr>
        <w:t>'</w:t>
      </w:r>
      <w:proofErr w:type="spellStart"/>
      <w:r w:rsidRPr="008F4B54">
        <w:rPr>
          <w:rFonts w:ascii="Arial" w:hAnsi="Arial" w:cs="Arial"/>
          <w:sz w:val="20"/>
          <w:szCs w:val="20"/>
        </w:rPr>
        <w:t>ASD</w:t>
      </w:r>
      <w:r w:rsidR="001123A7" w:rsidRPr="008F4B54">
        <w:rPr>
          <w:rFonts w:ascii="Arial" w:hAnsi="Arial" w:cs="Arial"/>
          <w:sz w:val="20"/>
          <w:szCs w:val="20"/>
        </w:rPr>
        <w:t>vs</w:t>
      </w:r>
      <w:r w:rsidRPr="008F4B54">
        <w:rPr>
          <w:rFonts w:ascii="Arial" w:hAnsi="Arial" w:cs="Arial"/>
          <w:sz w:val="20"/>
          <w:szCs w:val="20"/>
        </w:rPr>
        <w:t>DS</w:t>
      </w:r>
      <w:proofErr w:type="spellEnd"/>
      <w:r w:rsidRPr="008F4B54">
        <w:rPr>
          <w:rFonts w:ascii="Arial" w:hAnsi="Arial" w:cs="Arial"/>
          <w:sz w:val="20"/>
          <w:szCs w:val="20"/>
        </w:rPr>
        <w:t>'</w:t>
      </w:r>
      <w:r w:rsidR="001B249F" w:rsidRPr="008F4B54">
        <w:rPr>
          <w:rFonts w:ascii="Arial" w:hAnsi="Arial" w:cs="Arial"/>
          <w:sz w:val="20"/>
          <w:szCs w:val="20"/>
        </w:rPr>
        <w:tab/>
      </w:r>
      <w:r w:rsidRPr="008F4B54">
        <w:rPr>
          <w:rFonts w:ascii="Arial" w:hAnsi="Arial" w:cs="Arial"/>
          <w:sz w:val="20"/>
          <w:szCs w:val="20"/>
        </w:rPr>
        <w:t>'</w:t>
      </w:r>
      <w:proofErr w:type="spellStart"/>
      <w:r w:rsidRPr="008F4B54">
        <w:rPr>
          <w:rFonts w:ascii="Arial" w:hAnsi="Arial" w:cs="Arial"/>
          <w:sz w:val="20"/>
          <w:szCs w:val="20"/>
        </w:rPr>
        <w:t>ASA</w:t>
      </w:r>
      <w:r w:rsidR="001123A7" w:rsidRPr="008F4B54">
        <w:rPr>
          <w:rFonts w:ascii="Arial" w:hAnsi="Arial" w:cs="Arial"/>
          <w:sz w:val="20"/>
          <w:szCs w:val="20"/>
        </w:rPr>
        <w:t>vs</w:t>
      </w:r>
      <w:r w:rsidRPr="008F4B54">
        <w:rPr>
          <w:rFonts w:ascii="Arial" w:hAnsi="Arial" w:cs="Arial"/>
          <w:sz w:val="20"/>
          <w:szCs w:val="20"/>
        </w:rPr>
        <w:t>DS</w:t>
      </w:r>
      <w:proofErr w:type="spellEnd"/>
      <w:r w:rsidRPr="008F4B54">
        <w:rPr>
          <w:rFonts w:ascii="Arial" w:hAnsi="Arial" w:cs="Arial"/>
          <w:sz w:val="20"/>
          <w:szCs w:val="20"/>
        </w:rPr>
        <w:t>'</w:t>
      </w:r>
      <w:r w:rsidR="001B249F" w:rsidRPr="008F4B54">
        <w:rPr>
          <w:rFonts w:ascii="Arial" w:hAnsi="Arial" w:cs="Arial"/>
          <w:sz w:val="20"/>
          <w:szCs w:val="20"/>
        </w:rPr>
        <w:tab/>
      </w:r>
      <w:r w:rsidRPr="008F4B54">
        <w:rPr>
          <w:rFonts w:ascii="Arial" w:hAnsi="Arial" w:cs="Arial"/>
          <w:sz w:val="20"/>
          <w:szCs w:val="20"/>
        </w:rPr>
        <w:t>'</w:t>
      </w:r>
      <w:proofErr w:type="spellStart"/>
      <w:r w:rsidRPr="008F4B54">
        <w:rPr>
          <w:rFonts w:ascii="Arial" w:hAnsi="Arial" w:cs="Arial"/>
          <w:sz w:val="20"/>
          <w:szCs w:val="20"/>
        </w:rPr>
        <w:t>ZSD</w:t>
      </w:r>
      <w:r w:rsidR="001123A7" w:rsidRPr="008F4B54">
        <w:rPr>
          <w:rFonts w:ascii="Arial" w:hAnsi="Arial" w:cs="Arial"/>
          <w:sz w:val="20"/>
          <w:szCs w:val="20"/>
        </w:rPr>
        <w:t>vs</w:t>
      </w:r>
      <w:r w:rsidRPr="008F4B54">
        <w:rPr>
          <w:rFonts w:ascii="Arial" w:hAnsi="Arial" w:cs="Arial"/>
          <w:sz w:val="20"/>
          <w:szCs w:val="20"/>
        </w:rPr>
        <w:t>DS</w:t>
      </w:r>
      <w:proofErr w:type="spellEnd"/>
      <w:r w:rsidRPr="008F4B54">
        <w:rPr>
          <w:rFonts w:ascii="Arial" w:hAnsi="Arial" w:cs="Arial"/>
          <w:sz w:val="20"/>
          <w:szCs w:val="20"/>
        </w:rPr>
        <w:t>'</w:t>
      </w:r>
      <w:r w:rsidR="001B249F" w:rsidRPr="008F4B54">
        <w:rPr>
          <w:rFonts w:ascii="Arial" w:hAnsi="Arial" w:cs="Arial"/>
          <w:sz w:val="20"/>
          <w:szCs w:val="20"/>
        </w:rPr>
        <w:tab/>
      </w:r>
      <w:r w:rsidRPr="008F4B54">
        <w:rPr>
          <w:rFonts w:ascii="Arial" w:hAnsi="Arial" w:cs="Arial"/>
          <w:sz w:val="20"/>
          <w:szCs w:val="20"/>
        </w:rPr>
        <w:t>'</w:t>
      </w:r>
      <w:proofErr w:type="spellStart"/>
      <w:r w:rsidRPr="008F4B54">
        <w:rPr>
          <w:rFonts w:ascii="Arial" w:hAnsi="Arial" w:cs="Arial"/>
          <w:sz w:val="20"/>
          <w:szCs w:val="20"/>
        </w:rPr>
        <w:t>ZSA</w:t>
      </w:r>
      <w:r w:rsidR="001123A7" w:rsidRPr="008F4B54">
        <w:rPr>
          <w:rFonts w:ascii="Arial" w:hAnsi="Arial" w:cs="Arial"/>
          <w:sz w:val="20"/>
          <w:szCs w:val="20"/>
        </w:rPr>
        <w:t>vs</w:t>
      </w:r>
      <w:r w:rsidRPr="008F4B54">
        <w:rPr>
          <w:rFonts w:ascii="Arial" w:hAnsi="Arial" w:cs="Arial"/>
          <w:sz w:val="20"/>
          <w:szCs w:val="20"/>
        </w:rPr>
        <w:t>DS</w:t>
      </w:r>
      <w:proofErr w:type="spellEnd"/>
      <w:r w:rsidRPr="008F4B54">
        <w:rPr>
          <w:rFonts w:ascii="Arial" w:hAnsi="Arial" w:cs="Arial"/>
          <w:sz w:val="20"/>
          <w:szCs w:val="20"/>
        </w:rPr>
        <w:t>'</w:t>
      </w:r>
    </w:p>
    <w:p w14:paraId="40300745" w14:textId="7C0496FD" w:rsidR="0028542E" w:rsidRPr="008F4B54" w:rsidRDefault="0028542E" w:rsidP="00DD5DC8">
      <w:pPr>
        <w:autoSpaceDE w:val="0"/>
        <w:autoSpaceDN w:val="0"/>
        <w:ind w:left="1701"/>
        <w:rPr>
          <w:rFonts w:ascii="Arial" w:hAnsi="Arial" w:cs="Arial"/>
          <w:sz w:val="20"/>
          <w:szCs w:val="20"/>
        </w:rPr>
      </w:pPr>
      <w:r w:rsidRPr="008F4B54">
        <w:rPr>
          <w:rFonts w:ascii="Arial" w:hAnsi="Arial" w:cs="Arial"/>
          <w:sz w:val="20"/>
          <w:szCs w:val="20"/>
        </w:rPr>
        <w:t>'</w:t>
      </w:r>
      <w:proofErr w:type="spellStart"/>
      <w:r w:rsidRPr="008F4B54">
        <w:rPr>
          <w:rFonts w:ascii="Arial" w:hAnsi="Arial" w:cs="Arial"/>
          <w:sz w:val="20"/>
          <w:szCs w:val="20"/>
        </w:rPr>
        <w:t>ASD</w:t>
      </w:r>
      <w:r w:rsidR="001123A7" w:rsidRPr="008F4B54">
        <w:rPr>
          <w:rFonts w:ascii="Arial" w:hAnsi="Arial" w:cs="Arial"/>
          <w:sz w:val="20"/>
          <w:szCs w:val="20"/>
        </w:rPr>
        <w:t>vs</w:t>
      </w:r>
      <w:r w:rsidRPr="008F4B54">
        <w:rPr>
          <w:rFonts w:ascii="Arial" w:hAnsi="Arial" w:cs="Arial"/>
          <w:sz w:val="20"/>
          <w:szCs w:val="20"/>
        </w:rPr>
        <w:t>SF</w:t>
      </w:r>
      <w:proofErr w:type="spellEnd"/>
      <w:r w:rsidRPr="008F4B54">
        <w:rPr>
          <w:rFonts w:ascii="Arial" w:hAnsi="Arial" w:cs="Arial"/>
          <w:sz w:val="20"/>
          <w:szCs w:val="20"/>
        </w:rPr>
        <w:t>'</w:t>
      </w:r>
      <w:r w:rsidR="003A766A" w:rsidRPr="008F4B54">
        <w:rPr>
          <w:rFonts w:ascii="Arial" w:hAnsi="Arial" w:cs="Arial"/>
          <w:sz w:val="20"/>
          <w:szCs w:val="20"/>
        </w:rPr>
        <w:tab/>
      </w:r>
      <w:r w:rsidRPr="008F4B54">
        <w:rPr>
          <w:rFonts w:ascii="Arial" w:hAnsi="Arial" w:cs="Arial"/>
          <w:sz w:val="20"/>
          <w:szCs w:val="20"/>
        </w:rPr>
        <w:t>'</w:t>
      </w:r>
      <w:proofErr w:type="spellStart"/>
      <w:r w:rsidRPr="008F4B54">
        <w:rPr>
          <w:rFonts w:ascii="Arial" w:hAnsi="Arial" w:cs="Arial"/>
          <w:sz w:val="20"/>
          <w:szCs w:val="20"/>
        </w:rPr>
        <w:t>ASD</w:t>
      </w:r>
      <w:r w:rsidR="001123A7" w:rsidRPr="008F4B54">
        <w:rPr>
          <w:rFonts w:ascii="Arial" w:hAnsi="Arial" w:cs="Arial"/>
          <w:sz w:val="20"/>
          <w:szCs w:val="20"/>
        </w:rPr>
        <w:t>vs</w:t>
      </w:r>
      <w:r w:rsidRPr="008F4B54">
        <w:rPr>
          <w:rFonts w:ascii="Arial" w:hAnsi="Arial" w:cs="Arial"/>
          <w:sz w:val="20"/>
          <w:szCs w:val="20"/>
        </w:rPr>
        <w:t>DS</w:t>
      </w:r>
      <w:proofErr w:type="spellEnd"/>
      <w:r w:rsidRPr="008F4B54">
        <w:rPr>
          <w:rFonts w:ascii="Arial" w:hAnsi="Arial" w:cs="Arial"/>
          <w:sz w:val="20"/>
          <w:szCs w:val="20"/>
        </w:rPr>
        <w:t>'</w:t>
      </w:r>
      <w:r w:rsidR="003A766A" w:rsidRPr="008F4B54">
        <w:rPr>
          <w:rFonts w:ascii="Arial" w:hAnsi="Arial" w:cs="Arial"/>
          <w:sz w:val="20"/>
          <w:szCs w:val="20"/>
        </w:rPr>
        <w:tab/>
      </w:r>
      <w:r w:rsidRPr="008F4B54">
        <w:rPr>
          <w:rFonts w:ascii="Arial" w:hAnsi="Arial" w:cs="Arial"/>
          <w:sz w:val="20"/>
          <w:szCs w:val="20"/>
        </w:rPr>
        <w:t>'1'</w:t>
      </w:r>
      <w:r w:rsidR="003A766A" w:rsidRPr="008F4B54">
        <w:rPr>
          <w:rFonts w:ascii="Arial" w:hAnsi="Arial" w:cs="Arial"/>
          <w:sz w:val="20"/>
          <w:szCs w:val="20"/>
        </w:rPr>
        <w:tab/>
      </w:r>
      <w:r w:rsidR="003A766A" w:rsidRPr="008F4B54">
        <w:rPr>
          <w:rFonts w:ascii="Arial" w:hAnsi="Arial" w:cs="Arial"/>
          <w:sz w:val="20"/>
          <w:szCs w:val="20"/>
        </w:rPr>
        <w:tab/>
      </w:r>
      <w:r w:rsidRPr="008F4B54">
        <w:rPr>
          <w:rFonts w:ascii="Arial" w:hAnsi="Arial" w:cs="Arial"/>
          <w:sz w:val="20"/>
          <w:szCs w:val="20"/>
        </w:rPr>
        <w:t>'</w:t>
      </w:r>
      <w:proofErr w:type="spellStart"/>
      <w:r w:rsidRPr="008F4B54">
        <w:rPr>
          <w:rFonts w:ascii="Arial" w:hAnsi="Arial" w:cs="Arial"/>
          <w:sz w:val="20"/>
          <w:szCs w:val="20"/>
        </w:rPr>
        <w:t>ASD</w:t>
      </w:r>
      <w:r w:rsidR="001123A7" w:rsidRPr="008F4B54">
        <w:rPr>
          <w:rFonts w:ascii="Arial" w:hAnsi="Arial" w:cs="Arial"/>
          <w:sz w:val="20"/>
          <w:szCs w:val="20"/>
        </w:rPr>
        <w:t>vs</w:t>
      </w:r>
      <w:r w:rsidRPr="008F4B54">
        <w:rPr>
          <w:rFonts w:ascii="Arial" w:hAnsi="Arial" w:cs="Arial"/>
          <w:sz w:val="20"/>
          <w:szCs w:val="20"/>
        </w:rPr>
        <w:t>ASA</w:t>
      </w:r>
      <w:proofErr w:type="spellEnd"/>
      <w:r w:rsidRPr="008F4B54">
        <w:rPr>
          <w:rFonts w:ascii="Arial" w:hAnsi="Arial" w:cs="Arial"/>
          <w:sz w:val="20"/>
          <w:szCs w:val="20"/>
        </w:rPr>
        <w:t>'</w:t>
      </w:r>
      <w:r w:rsidR="003A766A" w:rsidRPr="008F4B54">
        <w:rPr>
          <w:rFonts w:ascii="Arial" w:hAnsi="Arial" w:cs="Arial"/>
          <w:sz w:val="20"/>
          <w:szCs w:val="20"/>
        </w:rPr>
        <w:tab/>
      </w:r>
      <w:r w:rsidRPr="008F4B54">
        <w:rPr>
          <w:rFonts w:ascii="Arial" w:hAnsi="Arial" w:cs="Arial"/>
          <w:sz w:val="20"/>
          <w:szCs w:val="20"/>
        </w:rPr>
        <w:t>'</w:t>
      </w:r>
      <w:proofErr w:type="spellStart"/>
      <w:r w:rsidRPr="008F4B54">
        <w:rPr>
          <w:rFonts w:ascii="Arial" w:hAnsi="Arial" w:cs="Arial"/>
          <w:sz w:val="20"/>
          <w:szCs w:val="20"/>
        </w:rPr>
        <w:t>ZSD</w:t>
      </w:r>
      <w:r w:rsidR="001123A7" w:rsidRPr="008F4B54">
        <w:rPr>
          <w:rFonts w:ascii="Arial" w:hAnsi="Arial" w:cs="Arial"/>
          <w:sz w:val="20"/>
          <w:szCs w:val="20"/>
        </w:rPr>
        <w:t>vs</w:t>
      </w:r>
      <w:r w:rsidRPr="008F4B54">
        <w:rPr>
          <w:rFonts w:ascii="Arial" w:hAnsi="Arial" w:cs="Arial"/>
          <w:sz w:val="20"/>
          <w:szCs w:val="20"/>
        </w:rPr>
        <w:t>ASD</w:t>
      </w:r>
      <w:proofErr w:type="spellEnd"/>
      <w:r w:rsidRPr="008F4B54">
        <w:rPr>
          <w:rFonts w:ascii="Arial" w:hAnsi="Arial" w:cs="Arial"/>
          <w:sz w:val="20"/>
          <w:szCs w:val="20"/>
        </w:rPr>
        <w:t>'</w:t>
      </w:r>
      <w:r w:rsidR="003A766A" w:rsidRPr="008F4B54">
        <w:rPr>
          <w:rFonts w:ascii="Arial" w:hAnsi="Arial" w:cs="Arial"/>
          <w:sz w:val="20"/>
          <w:szCs w:val="20"/>
        </w:rPr>
        <w:tab/>
      </w:r>
      <w:r w:rsidRPr="008F4B54">
        <w:rPr>
          <w:rFonts w:ascii="Arial" w:hAnsi="Arial" w:cs="Arial"/>
          <w:sz w:val="20"/>
          <w:szCs w:val="20"/>
        </w:rPr>
        <w:t>'</w:t>
      </w:r>
      <w:proofErr w:type="spellStart"/>
      <w:r w:rsidRPr="008F4B54">
        <w:rPr>
          <w:rFonts w:ascii="Arial" w:hAnsi="Arial" w:cs="Arial"/>
          <w:sz w:val="20"/>
          <w:szCs w:val="20"/>
        </w:rPr>
        <w:t>ZSA</w:t>
      </w:r>
      <w:r w:rsidR="001123A7" w:rsidRPr="008F4B54">
        <w:rPr>
          <w:rFonts w:ascii="Arial" w:hAnsi="Arial" w:cs="Arial"/>
          <w:sz w:val="20"/>
          <w:szCs w:val="20"/>
        </w:rPr>
        <w:t>vs</w:t>
      </w:r>
      <w:r w:rsidRPr="008F4B54">
        <w:rPr>
          <w:rFonts w:ascii="Arial" w:hAnsi="Arial" w:cs="Arial"/>
          <w:sz w:val="20"/>
          <w:szCs w:val="20"/>
        </w:rPr>
        <w:t>ASD</w:t>
      </w:r>
      <w:proofErr w:type="spellEnd"/>
      <w:r w:rsidRPr="008F4B54">
        <w:rPr>
          <w:rFonts w:ascii="Arial" w:hAnsi="Arial" w:cs="Arial"/>
          <w:sz w:val="20"/>
          <w:szCs w:val="20"/>
        </w:rPr>
        <w:t>'</w:t>
      </w:r>
    </w:p>
    <w:p w14:paraId="0D93B850" w14:textId="34B893E8" w:rsidR="0028542E" w:rsidRPr="008F4B54" w:rsidRDefault="0028542E" w:rsidP="00DD5DC8">
      <w:pPr>
        <w:autoSpaceDE w:val="0"/>
        <w:autoSpaceDN w:val="0"/>
        <w:ind w:left="1701"/>
        <w:rPr>
          <w:rFonts w:ascii="Arial" w:hAnsi="Arial" w:cs="Arial"/>
          <w:sz w:val="20"/>
          <w:szCs w:val="20"/>
        </w:rPr>
      </w:pPr>
      <w:r w:rsidRPr="008F4B54">
        <w:rPr>
          <w:rFonts w:ascii="Arial" w:hAnsi="Arial" w:cs="Arial"/>
          <w:sz w:val="20"/>
          <w:szCs w:val="20"/>
        </w:rPr>
        <w:t>'</w:t>
      </w:r>
      <w:proofErr w:type="spellStart"/>
      <w:r w:rsidRPr="008F4B54">
        <w:rPr>
          <w:rFonts w:ascii="Arial" w:hAnsi="Arial" w:cs="Arial"/>
          <w:sz w:val="20"/>
          <w:szCs w:val="20"/>
        </w:rPr>
        <w:t>ASA</w:t>
      </w:r>
      <w:r w:rsidR="001123A7" w:rsidRPr="008F4B54">
        <w:rPr>
          <w:rFonts w:ascii="Arial" w:hAnsi="Arial" w:cs="Arial"/>
          <w:sz w:val="20"/>
          <w:szCs w:val="20"/>
        </w:rPr>
        <w:t>vs</w:t>
      </w:r>
      <w:r w:rsidRPr="008F4B54">
        <w:rPr>
          <w:rFonts w:ascii="Arial" w:hAnsi="Arial" w:cs="Arial"/>
          <w:sz w:val="20"/>
          <w:szCs w:val="20"/>
        </w:rPr>
        <w:t>SF</w:t>
      </w:r>
      <w:proofErr w:type="spellEnd"/>
      <w:r w:rsidRPr="008F4B54">
        <w:rPr>
          <w:rFonts w:ascii="Arial" w:hAnsi="Arial" w:cs="Arial"/>
          <w:sz w:val="20"/>
          <w:szCs w:val="20"/>
        </w:rPr>
        <w:t>'</w:t>
      </w:r>
      <w:r w:rsidR="003A766A" w:rsidRPr="008F4B54">
        <w:rPr>
          <w:rFonts w:ascii="Arial" w:hAnsi="Arial" w:cs="Arial"/>
          <w:sz w:val="20"/>
          <w:szCs w:val="20"/>
        </w:rPr>
        <w:tab/>
      </w:r>
      <w:r w:rsidRPr="008F4B54">
        <w:rPr>
          <w:rFonts w:ascii="Arial" w:hAnsi="Arial" w:cs="Arial"/>
          <w:sz w:val="20"/>
          <w:szCs w:val="20"/>
        </w:rPr>
        <w:t>'</w:t>
      </w:r>
      <w:proofErr w:type="spellStart"/>
      <w:r w:rsidRPr="008F4B54">
        <w:rPr>
          <w:rFonts w:ascii="Arial" w:hAnsi="Arial" w:cs="Arial"/>
          <w:sz w:val="20"/>
          <w:szCs w:val="20"/>
        </w:rPr>
        <w:t>ASA</w:t>
      </w:r>
      <w:r w:rsidR="001123A7" w:rsidRPr="008F4B54">
        <w:rPr>
          <w:rFonts w:ascii="Arial" w:hAnsi="Arial" w:cs="Arial"/>
          <w:sz w:val="20"/>
          <w:szCs w:val="20"/>
        </w:rPr>
        <w:t>vs</w:t>
      </w:r>
      <w:r w:rsidRPr="008F4B54">
        <w:rPr>
          <w:rFonts w:ascii="Arial" w:hAnsi="Arial" w:cs="Arial"/>
          <w:sz w:val="20"/>
          <w:szCs w:val="20"/>
        </w:rPr>
        <w:t>DS</w:t>
      </w:r>
      <w:proofErr w:type="spellEnd"/>
      <w:r w:rsidRPr="008F4B54">
        <w:rPr>
          <w:rFonts w:ascii="Arial" w:hAnsi="Arial" w:cs="Arial"/>
          <w:sz w:val="20"/>
          <w:szCs w:val="20"/>
        </w:rPr>
        <w:t>'</w:t>
      </w:r>
      <w:r w:rsidR="003A766A" w:rsidRPr="008F4B54">
        <w:rPr>
          <w:rFonts w:ascii="Arial" w:hAnsi="Arial" w:cs="Arial"/>
          <w:sz w:val="20"/>
          <w:szCs w:val="20"/>
        </w:rPr>
        <w:tab/>
      </w:r>
      <w:r w:rsidRPr="008F4B54">
        <w:rPr>
          <w:rFonts w:ascii="Arial" w:hAnsi="Arial" w:cs="Arial"/>
          <w:sz w:val="20"/>
          <w:szCs w:val="20"/>
        </w:rPr>
        <w:t>'</w:t>
      </w:r>
      <w:proofErr w:type="spellStart"/>
      <w:r w:rsidRPr="008F4B54">
        <w:rPr>
          <w:rFonts w:ascii="Arial" w:hAnsi="Arial" w:cs="Arial"/>
          <w:sz w:val="20"/>
          <w:szCs w:val="20"/>
        </w:rPr>
        <w:t>ASD</w:t>
      </w:r>
      <w:r w:rsidR="001123A7" w:rsidRPr="008F4B54">
        <w:rPr>
          <w:rFonts w:ascii="Arial" w:hAnsi="Arial" w:cs="Arial"/>
          <w:sz w:val="20"/>
          <w:szCs w:val="20"/>
        </w:rPr>
        <w:t>vs</w:t>
      </w:r>
      <w:r w:rsidRPr="008F4B54">
        <w:rPr>
          <w:rFonts w:ascii="Arial" w:hAnsi="Arial" w:cs="Arial"/>
          <w:sz w:val="20"/>
          <w:szCs w:val="20"/>
        </w:rPr>
        <w:t>ASA</w:t>
      </w:r>
      <w:proofErr w:type="spellEnd"/>
      <w:r w:rsidRPr="008F4B54">
        <w:rPr>
          <w:rFonts w:ascii="Arial" w:hAnsi="Arial" w:cs="Arial"/>
          <w:sz w:val="20"/>
          <w:szCs w:val="20"/>
        </w:rPr>
        <w:t>'</w:t>
      </w:r>
      <w:r w:rsidR="003A766A" w:rsidRPr="008F4B54">
        <w:rPr>
          <w:rFonts w:ascii="Arial" w:hAnsi="Arial" w:cs="Arial"/>
          <w:sz w:val="20"/>
          <w:szCs w:val="20"/>
        </w:rPr>
        <w:tab/>
      </w:r>
      <w:r w:rsidRPr="008F4B54">
        <w:rPr>
          <w:rFonts w:ascii="Arial" w:hAnsi="Arial" w:cs="Arial"/>
          <w:sz w:val="20"/>
          <w:szCs w:val="20"/>
        </w:rPr>
        <w:t>'1'</w:t>
      </w:r>
      <w:r w:rsidR="003A766A" w:rsidRPr="008F4B54">
        <w:rPr>
          <w:rFonts w:ascii="Arial" w:hAnsi="Arial" w:cs="Arial"/>
          <w:sz w:val="20"/>
          <w:szCs w:val="20"/>
        </w:rPr>
        <w:tab/>
      </w:r>
      <w:r w:rsidR="003A766A" w:rsidRPr="008F4B54">
        <w:rPr>
          <w:rFonts w:ascii="Arial" w:hAnsi="Arial" w:cs="Arial"/>
          <w:sz w:val="20"/>
          <w:szCs w:val="20"/>
        </w:rPr>
        <w:tab/>
      </w:r>
      <w:r w:rsidRPr="008F4B54">
        <w:rPr>
          <w:rFonts w:ascii="Arial" w:hAnsi="Arial" w:cs="Arial"/>
          <w:sz w:val="20"/>
          <w:szCs w:val="20"/>
        </w:rPr>
        <w:t>'</w:t>
      </w:r>
      <w:proofErr w:type="spellStart"/>
      <w:r w:rsidRPr="008F4B54">
        <w:rPr>
          <w:rFonts w:ascii="Arial" w:hAnsi="Arial" w:cs="Arial"/>
          <w:sz w:val="20"/>
          <w:szCs w:val="20"/>
        </w:rPr>
        <w:t>ZSD</w:t>
      </w:r>
      <w:r w:rsidR="001123A7" w:rsidRPr="008F4B54">
        <w:rPr>
          <w:rFonts w:ascii="Arial" w:hAnsi="Arial" w:cs="Arial"/>
          <w:sz w:val="20"/>
          <w:szCs w:val="20"/>
        </w:rPr>
        <w:t>vs</w:t>
      </w:r>
      <w:r w:rsidRPr="008F4B54">
        <w:rPr>
          <w:rFonts w:ascii="Arial" w:hAnsi="Arial" w:cs="Arial"/>
          <w:sz w:val="20"/>
          <w:szCs w:val="20"/>
        </w:rPr>
        <w:t>ASA</w:t>
      </w:r>
      <w:proofErr w:type="spellEnd"/>
      <w:r w:rsidRPr="008F4B54">
        <w:rPr>
          <w:rFonts w:ascii="Arial" w:hAnsi="Arial" w:cs="Arial"/>
          <w:sz w:val="20"/>
          <w:szCs w:val="20"/>
        </w:rPr>
        <w:t>'</w:t>
      </w:r>
      <w:r w:rsidR="003A766A" w:rsidRPr="008F4B54">
        <w:rPr>
          <w:rFonts w:ascii="Arial" w:hAnsi="Arial" w:cs="Arial"/>
          <w:sz w:val="20"/>
          <w:szCs w:val="20"/>
        </w:rPr>
        <w:tab/>
      </w:r>
      <w:r w:rsidRPr="008F4B54">
        <w:rPr>
          <w:rFonts w:ascii="Arial" w:hAnsi="Arial" w:cs="Arial"/>
          <w:sz w:val="20"/>
          <w:szCs w:val="20"/>
        </w:rPr>
        <w:t>'</w:t>
      </w:r>
      <w:proofErr w:type="spellStart"/>
      <w:r w:rsidRPr="008F4B54">
        <w:rPr>
          <w:rFonts w:ascii="Arial" w:hAnsi="Arial" w:cs="Arial"/>
          <w:sz w:val="20"/>
          <w:szCs w:val="20"/>
        </w:rPr>
        <w:t>ZSA</w:t>
      </w:r>
      <w:r w:rsidR="001123A7" w:rsidRPr="008F4B54">
        <w:rPr>
          <w:rFonts w:ascii="Arial" w:hAnsi="Arial" w:cs="Arial"/>
          <w:sz w:val="20"/>
          <w:szCs w:val="20"/>
        </w:rPr>
        <w:t>vs</w:t>
      </w:r>
      <w:r w:rsidRPr="008F4B54">
        <w:rPr>
          <w:rFonts w:ascii="Arial" w:hAnsi="Arial" w:cs="Arial"/>
          <w:sz w:val="20"/>
          <w:szCs w:val="20"/>
        </w:rPr>
        <w:t>ASA</w:t>
      </w:r>
      <w:proofErr w:type="spellEnd"/>
      <w:r w:rsidRPr="008F4B54">
        <w:rPr>
          <w:rFonts w:ascii="Arial" w:hAnsi="Arial" w:cs="Arial"/>
          <w:sz w:val="20"/>
          <w:szCs w:val="20"/>
        </w:rPr>
        <w:t>'</w:t>
      </w:r>
    </w:p>
    <w:p w14:paraId="77128B28" w14:textId="63D6E156" w:rsidR="0028542E" w:rsidRPr="008F4B54" w:rsidRDefault="0028542E" w:rsidP="00DD5DC8">
      <w:pPr>
        <w:autoSpaceDE w:val="0"/>
        <w:autoSpaceDN w:val="0"/>
        <w:ind w:left="1701"/>
        <w:rPr>
          <w:rFonts w:ascii="Arial" w:hAnsi="Arial" w:cs="Arial"/>
          <w:sz w:val="20"/>
          <w:szCs w:val="20"/>
        </w:rPr>
      </w:pPr>
      <w:r w:rsidRPr="008F4B54">
        <w:rPr>
          <w:rFonts w:ascii="Arial" w:hAnsi="Arial" w:cs="Arial"/>
          <w:sz w:val="20"/>
          <w:szCs w:val="20"/>
        </w:rPr>
        <w:t>'</w:t>
      </w:r>
      <w:proofErr w:type="spellStart"/>
      <w:r w:rsidRPr="008F4B54">
        <w:rPr>
          <w:rFonts w:ascii="Arial" w:hAnsi="Arial" w:cs="Arial"/>
          <w:sz w:val="20"/>
          <w:szCs w:val="20"/>
        </w:rPr>
        <w:t>ZSD</w:t>
      </w:r>
      <w:r w:rsidR="001123A7" w:rsidRPr="008F4B54">
        <w:rPr>
          <w:rFonts w:ascii="Arial" w:hAnsi="Arial" w:cs="Arial"/>
          <w:sz w:val="20"/>
          <w:szCs w:val="20"/>
        </w:rPr>
        <w:t>vs</w:t>
      </w:r>
      <w:r w:rsidRPr="008F4B54">
        <w:rPr>
          <w:rFonts w:ascii="Arial" w:hAnsi="Arial" w:cs="Arial"/>
          <w:sz w:val="20"/>
          <w:szCs w:val="20"/>
        </w:rPr>
        <w:t>SF</w:t>
      </w:r>
      <w:proofErr w:type="spellEnd"/>
      <w:r w:rsidRPr="008F4B54">
        <w:rPr>
          <w:rFonts w:ascii="Arial" w:hAnsi="Arial" w:cs="Arial"/>
          <w:sz w:val="20"/>
          <w:szCs w:val="20"/>
        </w:rPr>
        <w:t>'</w:t>
      </w:r>
      <w:r w:rsidR="003A766A" w:rsidRPr="008F4B54">
        <w:rPr>
          <w:rFonts w:ascii="Arial" w:hAnsi="Arial" w:cs="Arial"/>
          <w:sz w:val="20"/>
          <w:szCs w:val="20"/>
        </w:rPr>
        <w:tab/>
      </w:r>
      <w:r w:rsidRPr="008F4B54">
        <w:rPr>
          <w:rFonts w:ascii="Arial" w:hAnsi="Arial" w:cs="Arial"/>
          <w:sz w:val="20"/>
          <w:szCs w:val="20"/>
        </w:rPr>
        <w:t>'</w:t>
      </w:r>
      <w:proofErr w:type="spellStart"/>
      <w:r w:rsidRPr="008F4B54">
        <w:rPr>
          <w:rFonts w:ascii="Arial" w:hAnsi="Arial" w:cs="Arial"/>
          <w:sz w:val="20"/>
          <w:szCs w:val="20"/>
        </w:rPr>
        <w:t>ZSD</w:t>
      </w:r>
      <w:r w:rsidR="001123A7" w:rsidRPr="008F4B54">
        <w:rPr>
          <w:rFonts w:ascii="Arial" w:hAnsi="Arial" w:cs="Arial"/>
          <w:sz w:val="20"/>
          <w:szCs w:val="20"/>
        </w:rPr>
        <w:t>vs</w:t>
      </w:r>
      <w:r w:rsidRPr="008F4B54">
        <w:rPr>
          <w:rFonts w:ascii="Arial" w:hAnsi="Arial" w:cs="Arial"/>
          <w:sz w:val="20"/>
          <w:szCs w:val="20"/>
        </w:rPr>
        <w:t>DS</w:t>
      </w:r>
      <w:proofErr w:type="spellEnd"/>
      <w:r w:rsidRPr="008F4B54">
        <w:rPr>
          <w:rFonts w:ascii="Arial" w:hAnsi="Arial" w:cs="Arial"/>
          <w:sz w:val="20"/>
          <w:szCs w:val="20"/>
        </w:rPr>
        <w:t>'</w:t>
      </w:r>
      <w:r w:rsidR="003A766A" w:rsidRPr="008F4B54">
        <w:rPr>
          <w:rFonts w:ascii="Arial" w:hAnsi="Arial" w:cs="Arial"/>
          <w:sz w:val="20"/>
          <w:szCs w:val="20"/>
        </w:rPr>
        <w:tab/>
      </w:r>
      <w:r w:rsidRPr="008F4B54">
        <w:rPr>
          <w:rFonts w:ascii="Arial" w:hAnsi="Arial" w:cs="Arial"/>
          <w:sz w:val="20"/>
          <w:szCs w:val="20"/>
        </w:rPr>
        <w:t>'</w:t>
      </w:r>
      <w:proofErr w:type="spellStart"/>
      <w:r w:rsidRPr="008F4B54">
        <w:rPr>
          <w:rFonts w:ascii="Arial" w:hAnsi="Arial" w:cs="Arial"/>
          <w:sz w:val="20"/>
          <w:szCs w:val="20"/>
        </w:rPr>
        <w:t>ZSD</w:t>
      </w:r>
      <w:r w:rsidR="001123A7" w:rsidRPr="008F4B54">
        <w:rPr>
          <w:rFonts w:ascii="Arial" w:hAnsi="Arial" w:cs="Arial"/>
          <w:sz w:val="20"/>
          <w:szCs w:val="20"/>
        </w:rPr>
        <w:t>vs</w:t>
      </w:r>
      <w:r w:rsidRPr="008F4B54">
        <w:rPr>
          <w:rFonts w:ascii="Arial" w:hAnsi="Arial" w:cs="Arial"/>
          <w:sz w:val="20"/>
          <w:szCs w:val="20"/>
        </w:rPr>
        <w:t>ASD</w:t>
      </w:r>
      <w:proofErr w:type="spellEnd"/>
      <w:r w:rsidRPr="008F4B54">
        <w:rPr>
          <w:rFonts w:ascii="Arial" w:hAnsi="Arial" w:cs="Arial"/>
          <w:sz w:val="20"/>
          <w:szCs w:val="20"/>
        </w:rPr>
        <w:t>'</w:t>
      </w:r>
      <w:r w:rsidR="003A766A" w:rsidRPr="008F4B54">
        <w:rPr>
          <w:rFonts w:ascii="Arial" w:hAnsi="Arial" w:cs="Arial"/>
          <w:sz w:val="20"/>
          <w:szCs w:val="20"/>
        </w:rPr>
        <w:tab/>
      </w:r>
      <w:r w:rsidRPr="008F4B54">
        <w:rPr>
          <w:rFonts w:ascii="Arial" w:hAnsi="Arial" w:cs="Arial"/>
          <w:sz w:val="20"/>
          <w:szCs w:val="20"/>
        </w:rPr>
        <w:t>'</w:t>
      </w:r>
      <w:proofErr w:type="spellStart"/>
      <w:r w:rsidRPr="008F4B54">
        <w:rPr>
          <w:rFonts w:ascii="Arial" w:hAnsi="Arial" w:cs="Arial"/>
          <w:sz w:val="20"/>
          <w:szCs w:val="20"/>
        </w:rPr>
        <w:t>ZSD</w:t>
      </w:r>
      <w:r w:rsidR="001123A7" w:rsidRPr="008F4B54">
        <w:rPr>
          <w:rFonts w:ascii="Arial" w:hAnsi="Arial" w:cs="Arial"/>
          <w:sz w:val="20"/>
          <w:szCs w:val="20"/>
        </w:rPr>
        <w:t>vs</w:t>
      </w:r>
      <w:r w:rsidRPr="008F4B54">
        <w:rPr>
          <w:rFonts w:ascii="Arial" w:hAnsi="Arial" w:cs="Arial"/>
          <w:sz w:val="20"/>
          <w:szCs w:val="20"/>
        </w:rPr>
        <w:t>ASA</w:t>
      </w:r>
      <w:proofErr w:type="spellEnd"/>
      <w:r w:rsidRPr="008F4B54">
        <w:rPr>
          <w:rFonts w:ascii="Arial" w:hAnsi="Arial" w:cs="Arial"/>
          <w:sz w:val="20"/>
          <w:szCs w:val="20"/>
        </w:rPr>
        <w:t>'</w:t>
      </w:r>
      <w:r w:rsidR="003A766A" w:rsidRPr="008F4B54">
        <w:rPr>
          <w:rFonts w:ascii="Arial" w:hAnsi="Arial" w:cs="Arial"/>
          <w:sz w:val="20"/>
          <w:szCs w:val="20"/>
        </w:rPr>
        <w:tab/>
      </w:r>
      <w:r w:rsidRPr="008F4B54">
        <w:rPr>
          <w:rFonts w:ascii="Arial" w:hAnsi="Arial" w:cs="Arial"/>
          <w:sz w:val="20"/>
          <w:szCs w:val="20"/>
        </w:rPr>
        <w:t>'1'</w:t>
      </w:r>
      <w:r w:rsidR="003A766A" w:rsidRPr="008F4B54">
        <w:rPr>
          <w:rFonts w:ascii="Arial" w:hAnsi="Arial" w:cs="Arial"/>
          <w:sz w:val="20"/>
          <w:szCs w:val="20"/>
        </w:rPr>
        <w:tab/>
      </w:r>
      <w:r w:rsidR="003A766A" w:rsidRPr="008F4B54">
        <w:rPr>
          <w:rFonts w:ascii="Arial" w:hAnsi="Arial" w:cs="Arial"/>
          <w:sz w:val="20"/>
          <w:szCs w:val="20"/>
        </w:rPr>
        <w:tab/>
      </w:r>
      <w:r w:rsidRPr="008F4B54">
        <w:rPr>
          <w:rFonts w:ascii="Arial" w:hAnsi="Arial" w:cs="Arial"/>
          <w:sz w:val="20"/>
          <w:szCs w:val="20"/>
        </w:rPr>
        <w:t>'</w:t>
      </w:r>
      <w:proofErr w:type="spellStart"/>
      <w:r w:rsidRPr="008F4B54">
        <w:rPr>
          <w:rFonts w:ascii="Arial" w:hAnsi="Arial" w:cs="Arial"/>
          <w:sz w:val="20"/>
          <w:szCs w:val="20"/>
        </w:rPr>
        <w:t>ZSD</w:t>
      </w:r>
      <w:r w:rsidR="001123A7" w:rsidRPr="008F4B54">
        <w:rPr>
          <w:rFonts w:ascii="Arial" w:hAnsi="Arial" w:cs="Arial"/>
          <w:sz w:val="20"/>
          <w:szCs w:val="20"/>
        </w:rPr>
        <w:t>vs</w:t>
      </w:r>
      <w:r w:rsidRPr="008F4B54">
        <w:rPr>
          <w:rFonts w:ascii="Arial" w:hAnsi="Arial" w:cs="Arial"/>
          <w:sz w:val="20"/>
          <w:szCs w:val="20"/>
        </w:rPr>
        <w:t>ZSA</w:t>
      </w:r>
      <w:proofErr w:type="spellEnd"/>
      <w:r w:rsidRPr="008F4B54">
        <w:rPr>
          <w:rFonts w:ascii="Arial" w:hAnsi="Arial" w:cs="Arial"/>
          <w:sz w:val="20"/>
          <w:szCs w:val="20"/>
        </w:rPr>
        <w:t>'</w:t>
      </w:r>
    </w:p>
    <w:p w14:paraId="1D718348" w14:textId="2DD894F6" w:rsidR="0028542E" w:rsidRPr="008F4B54" w:rsidRDefault="0028542E" w:rsidP="00DD5DC8">
      <w:pPr>
        <w:autoSpaceDE w:val="0"/>
        <w:autoSpaceDN w:val="0"/>
        <w:ind w:left="1701"/>
        <w:rPr>
          <w:rFonts w:ascii="Arial" w:hAnsi="Arial" w:cs="Arial"/>
          <w:sz w:val="20"/>
          <w:szCs w:val="20"/>
        </w:rPr>
      </w:pPr>
      <w:r w:rsidRPr="008F4B54">
        <w:rPr>
          <w:rFonts w:ascii="Arial" w:hAnsi="Arial" w:cs="Arial"/>
          <w:sz w:val="20"/>
          <w:szCs w:val="20"/>
        </w:rPr>
        <w:t>'</w:t>
      </w:r>
      <w:proofErr w:type="spellStart"/>
      <w:r w:rsidRPr="008F4B54">
        <w:rPr>
          <w:rFonts w:ascii="Arial" w:hAnsi="Arial" w:cs="Arial"/>
          <w:sz w:val="20"/>
          <w:szCs w:val="20"/>
        </w:rPr>
        <w:t>ZSA</w:t>
      </w:r>
      <w:r w:rsidR="001123A7" w:rsidRPr="008F4B54">
        <w:rPr>
          <w:rFonts w:ascii="Arial" w:hAnsi="Arial" w:cs="Arial"/>
          <w:sz w:val="20"/>
          <w:szCs w:val="20"/>
        </w:rPr>
        <w:t>vs</w:t>
      </w:r>
      <w:r w:rsidRPr="008F4B54">
        <w:rPr>
          <w:rFonts w:ascii="Arial" w:hAnsi="Arial" w:cs="Arial"/>
          <w:sz w:val="20"/>
          <w:szCs w:val="20"/>
        </w:rPr>
        <w:t>SF</w:t>
      </w:r>
      <w:proofErr w:type="spellEnd"/>
      <w:r w:rsidRPr="008F4B54">
        <w:rPr>
          <w:rFonts w:ascii="Arial" w:hAnsi="Arial" w:cs="Arial"/>
          <w:sz w:val="20"/>
          <w:szCs w:val="20"/>
        </w:rPr>
        <w:t>'</w:t>
      </w:r>
      <w:r w:rsidR="003A766A" w:rsidRPr="008F4B54">
        <w:rPr>
          <w:rFonts w:ascii="Arial" w:hAnsi="Arial" w:cs="Arial"/>
          <w:sz w:val="20"/>
          <w:szCs w:val="20"/>
        </w:rPr>
        <w:tab/>
      </w:r>
      <w:r w:rsidRPr="008F4B54">
        <w:rPr>
          <w:rFonts w:ascii="Arial" w:hAnsi="Arial" w:cs="Arial"/>
          <w:sz w:val="20"/>
          <w:szCs w:val="20"/>
        </w:rPr>
        <w:t>'</w:t>
      </w:r>
      <w:proofErr w:type="spellStart"/>
      <w:r w:rsidRPr="008F4B54">
        <w:rPr>
          <w:rFonts w:ascii="Arial" w:hAnsi="Arial" w:cs="Arial"/>
          <w:sz w:val="20"/>
          <w:szCs w:val="20"/>
        </w:rPr>
        <w:t>ZSA</w:t>
      </w:r>
      <w:r w:rsidR="001123A7" w:rsidRPr="008F4B54">
        <w:rPr>
          <w:rFonts w:ascii="Arial" w:hAnsi="Arial" w:cs="Arial"/>
          <w:sz w:val="20"/>
          <w:szCs w:val="20"/>
        </w:rPr>
        <w:t>vs</w:t>
      </w:r>
      <w:r w:rsidRPr="008F4B54">
        <w:rPr>
          <w:rFonts w:ascii="Arial" w:hAnsi="Arial" w:cs="Arial"/>
          <w:sz w:val="20"/>
          <w:szCs w:val="20"/>
        </w:rPr>
        <w:t>DS</w:t>
      </w:r>
      <w:proofErr w:type="spellEnd"/>
      <w:r w:rsidRPr="008F4B54">
        <w:rPr>
          <w:rFonts w:ascii="Arial" w:hAnsi="Arial" w:cs="Arial"/>
          <w:sz w:val="20"/>
          <w:szCs w:val="20"/>
        </w:rPr>
        <w:t>'</w:t>
      </w:r>
      <w:r w:rsidR="003A766A" w:rsidRPr="008F4B54">
        <w:rPr>
          <w:rFonts w:ascii="Arial" w:hAnsi="Arial" w:cs="Arial"/>
          <w:sz w:val="20"/>
          <w:szCs w:val="20"/>
        </w:rPr>
        <w:tab/>
      </w:r>
      <w:r w:rsidRPr="008F4B54">
        <w:rPr>
          <w:rFonts w:ascii="Arial" w:hAnsi="Arial" w:cs="Arial"/>
          <w:sz w:val="20"/>
          <w:szCs w:val="20"/>
        </w:rPr>
        <w:t>'</w:t>
      </w:r>
      <w:proofErr w:type="spellStart"/>
      <w:r w:rsidRPr="008F4B54">
        <w:rPr>
          <w:rFonts w:ascii="Arial" w:hAnsi="Arial" w:cs="Arial"/>
          <w:sz w:val="20"/>
          <w:szCs w:val="20"/>
        </w:rPr>
        <w:t>ZSA</w:t>
      </w:r>
      <w:r w:rsidR="001123A7" w:rsidRPr="008F4B54">
        <w:rPr>
          <w:rFonts w:ascii="Arial" w:hAnsi="Arial" w:cs="Arial"/>
          <w:sz w:val="20"/>
          <w:szCs w:val="20"/>
        </w:rPr>
        <w:t>vs</w:t>
      </w:r>
      <w:r w:rsidRPr="008F4B54">
        <w:rPr>
          <w:rFonts w:ascii="Arial" w:hAnsi="Arial" w:cs="Arial"/>
          <w:sz w:val="20"/>
          <w:szCs w:val="20"/>
        </w:rPr>
        <w:t>ASD</w:t>
      </w:r>
      <w:proofErr w:type="spellEnd"/>
      <w:r w:rsidRPr="008F4B54">
        <w:rPr>
          <w:rFonts w:ascii="Arial" w:hAnsi="Arial" w:cs="Arial"/>
          <w:sz w:val="20"/>
          <w:szCs w:val="20"/>
        </w:rPr>
        <w:t>'</w:t>
      </w:r>
      <w:r w:rsidR="003A766A" w:rsidRPr="008F4B54">
        <w:rPr>
          <w:rFonts w:ascii="Arial" w:hAnsi="Arial" w:cs="Arial"/>
          <w:sz w:val="20"/>
          <w:szCs w:val="20"/>
        </w:rPr>
        <w:tab/>
      </w:r>
      <w:r w:rsidRPr="008F4B54">
        <w:rPr>
          <w:rFonts w:ascii="Arial" w:hAnsi="Arial" w:cs="Arial"/>
          <w:sz w:val="20"/>
          <w:szCs w:val="20"/>
        </w:rPr>
        <w:t>'</w:t>
      </w:r>
      <w:proofErr w:type="spellStart"/>
      <w:r w:rsidRPr="008F4B54">
        <w:rPr>
          <w:rFonts w:ascii="Arial" w:hAnsi="Arial" w:cs="Arial"/>
          <w:sz w:val="20"/>
          <w:szCs w:val="20"/>
        </w:rPr>
        <w:t>ZSA</w:t>
      </w:r>
      <w:r w:rsidR="001123A7" w:rsidRPr="008F4B54">
        <w:rPr>
          <w:rFonts w:ascii="Arial" w:hAnsi="Arial" w:cs="Arial"/>
          <w:sz w:val="20"/>
          <w:szCs w:val="20"/>
        </w:rPr>
        <w:t>vs</w:t>
      </w:r>
      <w:r w:rsidRPr="008F4B54">
        <w:rPr>
          <w:rFonts w:ascii="Arial" w:hAnsi="Arial" w:cs="Arial"/>
          <w:sz w:val="20"/>
          <w:szCs w:val="20"/>
        </w:rPr>
        <w:t>ASA</w:t>
      </w:r>
      <w:proofErr w:type="spellEnd"/>
      <w:r w:rsidRPr="008F4B54">
        <w:rPr>
          <w:rFonts w:ascii="Arial" w:hAnsi="Arial" w:cs="Arial"/>
          <w:sz w:val="20"/>
          <w:szCs w:val="20"/>
        </w:rPr>
        <w:t>'</w:t>
      </w:r>
      <w:r w:rsidR="003A766A" w:rsidRPr="008F4B54">
        <w:rPr>
          <w:rFonts w:ascii="Arial" w:hAnsi="Arial" w:cs="Arial"/>
          <w:sz w:val="20"/>
          <w:szCs w:val="20"/>
        </w:rPr>
        <w:tab/>
      </w:r>
      <w:r w:rsidRPr="008F4B54">
        <w:rPr>
          <w:rFonts w:ascii="Arial" w:hAnsi="Arial" w:cs="Arial"/>
          <w:sz w:val="20"/>
          <w:szCs w:val="20"/>
        </w:rPr>
        <w:t>'</w:t>
      </w:r>
      <w:proofErr w:type="spellStart"/>
      <w:r w:rsidRPr="008F4B54">
        <w:rPr>
          <w:rFonts w:ascii="Arial" w:hAnsi="Arial" w:cs="Arial"/>
          <w:sz w:val="20"/>
          <w:szCs w:val="20"/>
        </w:rPr>
        <w:t>ZSD</w:t>
      </w:r>
      <w:r w:rsidR="001123A7" w:rsidRPr="008F4B54">
        <w:rPr>
          <w:rFonts w:ascii="Arial" w:hAnsi="Arial" w:cs="Arial"/>
          <w:sz w:val="20"/>
          <w:szCs w:val="20"/>
        </w:rPr>
        <w:t>vs</w:t>
      </w:r>
      <w:r w:rsidRPr="008F4B54">
        <w:rPr>
          <w:rFonts w:ascii="Arial" w:hAnsi="Arial" w:cs="Arial"/>
          <w:sz w:val="20"/>
          <w:szCs w:val="20"/>
        </w:rPr>
        <w:t>ZSA</w:t>
      </w:r>
      <w:proofErr w:type="spellEnd"/>
      <w:r w:rsidRPr="008F4B54">
        <w:rPr>
          <w:rFonts w:ascii="Arial" w:hAnsi="Arial" w:cs="Arial"/>
          <w:sz w:val="20"/>
          <w:szCs w:val="20"/>
        </w:rPr>
        <w:t>'</w:t>
      </w:r>
      <w:r w:rsidR="003A766A" w:rsidRPr="008F4B54">
        <w:rPr>
          <w:rFonts w:ascii="Arial" w:hAnsi="Arial" w:cs="Arial"/>
          <w:sz w:val="20"/>
          <w:szCs w:val="20"/>
        </w:rPr>
        <w:tab/>
      </w:r>
      <w:r w:rsidRPr="008F4B54">
        <w:rPr>
          <w:rFonts w:ascii="Arial" w:hAnsi="Arial" w:cs="Arial"/>
          <w:sz w:val="20"/>
          <w:szCs w:val="20"/>
        </w:rPr>
        <w:t>'1'</w:t>
      </w:r>
    </w:p>
    <w:p w14:paraId="26C61D7A" w14:textId="033ED19A" w:rsidR="0028542E" w:rsidRPr="008F4B54" w:rsidRDefault="0028542E" w:rsidP="0028542E">
      <w:pPr>
        <w:autoSpaceDE w:val="0"/>
        <w:autoSpaceDN w:val="0"/>
        <w:rPr>
          <w:rFonts w:ascii="Courier New" w:hAnsi="Courier New" w:cs="Courier New"/>
          <w:sz w:val="24"/>
          <w:szCs w:val="24"/>
        </w:rPr>
      </w:pPr>
      <w:r w:rsidRPr="008F4B54">
        <w:rPr>
          <w:rFonts w:ascii="Arial" w:hAnsi="Arial" w:cs="Arial"/>
          <w:sz w:val="20"/>
          <w:szCs w:val="20"/>
        </w:rPr>
        <w:t>From Table 6.7.2-4a (Channel model parameters for Urban Scenario (NLOS) at S band), for 10 degree</w:t>
      </w:r>
      <w:r w:rsidR="00802192" w:rsidRPr="008F4B54">
        <w:rPr>
          <w:rFonts w:ascii="Arial" w:hAnsi="Arial" w:cs="Arial"/>
          <w:sz w:val="20"/>
          <w:szCs w:val="20"/>
        </w:rPr>
        <w:t>s</w:t>
      </w:r>
      <w:r w:rsidRPr="008F4B54">
        <w:rPr>
          <w:rFonts w:ascii="Arial" w:hAnsi="Arial" w:cs="Arial"/>
          <w:sz w:val="20"/>
          <w:szCs w:val="20"/>
        </w:rPr>
        <w:t xml:space="preserve"> elevation angle, the correlation matrix C is given by</w:t>
      </w:r>
    </w:p>
    <w:p w14:paraId="19658D44" w14:textId="77777777" w:rsidR="0028542E" w:rsidRPr="008F4B54" w:rsidRDefault="0028542E" w:rsidP="0028542E">
      <w:pPr>
        <w:ind w:left="2835"/>
        <w:rPr>
          <w:rFonts w:ascii="Arial" w:hAnsi="Arial" w:cs="Arial"/>
          <w:sz w:val="20"/>
          <w:szCs w:val="20"/>
        </w:rPr>
      </w:pPr>
      <w:r w:rsidRPr="008F4B54">
        <w:rPr>
          <w:rFonts w:ascii="Arial" w:hAnsi="Arial" w:cs="Arial"/>
          <w:sz w:val="20"/>
          <w:szCs w:val="20"/>
        </w:rPr>
        <w:t>C =</w:t>
      </w:r>
    </w:p>
    <w:p w14:paraId="67E9292A" w14:textId="3B13A6BF" w:rsidR="0028542E" w:rsidRPr="008F4B54" w:rsidRDefault="002C1D26" w:rsidP="0028542E">
      <w:pPr>
        <w:ind w:left="2835"/>
        <w:rPr>
          <w:rFonts w:ascii="Arial" w:hAnsi="Arial" w:cs="Arial"/>
          <w:sz w:val="20"/>
          <w:szCs w:val="20"/>
        </w:rPr>
      </w:pPr>
      <w:r w:rsidRPr="008F4B54">
        <w:rPr>
          <w:rFonts w:ascii="Arial" w:hAnsi="Arial" w:cs="Arial"/>
          <w:sz w:val="20"/>
          <w:szCs w:val="20"/>
        </w:rPr>
        <w:t xml:space="preserve"> </w:t>
      </w:r>
      <w:r w:rsidR="0028542E" w:rsidRPr="008F4B54">
        <w:rPr>
          <w:rFonts w:ascii="Arial" w:hAnsi="Arial" w:cs="Arial"/>
          <w:sz w:val="20"/>
          <w:szCs w:val="20"/>
        </w:rPr>
        <w:t>1.</w:t>
      </w:r>
      <w:r w:rsidR="00544D44" w:rsidRPr="008F4B54">
        <w:rPr>
          <w:rFonts w:ascii="Arial" w:hAnsi="Arial" w:cs="Arial"/>
          <w:sz w:val="20"/>
          <w:szCs w:val="20"/>
        </w:rPr>
        <w:t>0</w:t>
      </w:r>
      <w:r w:rsidR="0028542E" w:rsidRPr="008F4B54">
        <w:rPr>
          <w:rFonts w:ascii="Arial" w:hAnsi="Arial" w:cs="Arial"/>
          <w:sz w:val="20"/>
          <w:szCs w:val="20"/>
        </w:rPr>
        <w:t>0</w:t>
      </w:r>
      <w:r w:rsidR="00544D44" w:rsidRPr="008F4B54">
        <w:rPr>
          <w:rFonts w:ascii="Arial" w:hAnsi="Arial" w:cs="Arial"/>
          <w:sz w:val="20"/>
          <w:szCs w:val="20"/>
        </w:rPr>
        <w:tab/>
      </w:r>
      <w:r w:rsidR="0028542E" w:rsidRPr="008F4B54">
        <w:rPr>
          <w:rFonts w:ascii="Arial" w:hAnsi="Arial" w:cs="Arial"/>
          <w:sz w:val="20"/>
          <w:szCs w:val="20"/>
        </w:rPr>
        <w:t>-0.4</w:t>
      </w:r>
      <w:r w:rsidR="00544D44" w:rsidRPr="008F4B54">
        <w:rPr>
          <w:rFonts w:ascii="Arial" w:hAnsi="Arial" w:cs="Arial"/>
          <w:sz w:val="20"/>
          <w:szCs w:val="20"/>
        </w:rPr>
        <w:t>0</w:t>
      </w:r>
      <w:r w:rsidR="00C2709C" w:rsidRPr="008F4B54">
        <w:rPr>
          <w:rFonts w:ascii="Arial" w:hAnsi="Arial" w:cs="Arial"/>
          <w:sz w:val="20"/>
          <w:szCs w:val="20"/>
        </w:rPr>
        <w:tab/>
      </w:r>
      <w:r w:rsidR="0028542E" w:rsidRPr="008F4B54">
        <w:rPr>
          <w:rFonts w:ascii="Arial" w:hAnsi="Arial" w:cs="Arial"/>
          <w:sz w:val="20"/>
          <w:szCs w:val="20"/>
        </w:rPr>
        <w:t>-0.6</w:t>
      </w:r>
      <w:r w:rsidR="00544D44" w:rsidRPr="008F4B54">
        <w:rPr>
          <w:rFonts w:ascii="Arial" w:hAnsi="Arial" w:cs="Arial"/>
          <w:sz w:val="20"/>
          <w:szCs w:val="20"/>
        </w:rPr>
        <w:t>0</w:t>
      </w:r>
      <w:r w:rsidR="00C2709C" w:rsidRPr="008F4B54">
        <w:rPr>
          <w:rFonts w:ascii="Arial" w:hAnsi="Arial" w:cs="Arial"/>
          <w:sz w:val="20"/>
          <w:szCs w:val="20"/>
        </w:rPr>
        <w:tab/>
      </w:r>
      <w:r w:rsidRPr="008F4B54">
        <w:rPr>
          <w:rFonts w:ascii="Arial" w:hAnsi="Arial" w:cs="Arial"/>
          <w:sz w:val="20"/>
          <w:szCs w:val="20"/>
        </w:rPr>
        <w:t xml:space="preserve"> </w:t>
      </w:r>
      <w:r w:rsidR="0028542E" w:rsidRPr="008F4B54">
        <w:rPr>
          <w:rFonts w:ascii="Arial" w:hAnsi="Arial" w:cs="Arial"/>
          <w:sz w:val="20"/>
          <w:szCs w:val="20"/>
        </w:rPr>
        <w:t>0</w:t>
      </w:r>
      <w:r w:rsidR="00C55782" w:rsidRPr="008F4B54">
        <w:rPr>
          <w:rFonts w:ascii="Arial" w:hAnsi="Arial" w:cs="Arial"/>
          <w:sz w:val="20"/>
          <w:szCs w:val="20"/>
        </w:rPr>
        <w:t>.</w:t>
      </w:r>
      <w:r w:rsidR="00544D44" w:rsidRPr="008F4B54">
        <w:rPr>
          <w:rFonts w:ascii="Arial" w:hAnsi="Arial" w:cs="Arial"/>
          <w:sz w:val="20"/>
          <w:szCs w:val="20"/>
        </w:rPr>
        <w:t>0</w:t>
      </w:r>
      <w:r w:rsidR="00C55782" w:rsidRPr="008F4B54">
        <w:rPr>
          <w:rFonts w:ascii="Arial" w:hAnsi="Arial" w:cs="Arial"/>
          <w:sz w:val="20"/>
          <w:szCs w:val="20"/>
        </w:rPr>
        <w:t>0</w:t>
      </w:r>
      <w:r w:rsidR="00C2709C" w:rsidRPr="008F4B54">
        <w:rPr>
          <w:rFonts w:ascii="Arial" w:hAnsi="Arial" w:cs="Arial"/>
          <w:sz w:val="20"/>
          <w:szCs w:val="20"/>
        </w:rPr>
        <w:tab/>
      </w:r>
      <w:r w:rsidRPr="008F4B54">
        <w:rPr>
          <w:rFonts w:ascii="Arial" w:hAnsi="Arial" w:cs="Arial"/>
          <w:sz w:val="20"/>
          <w:szCs w:val="20"/>
        </w:rPr>
        <w:t xml:space="preserve"> </w:t>
      </w:r>
      <w:r w:rsidR="0028542E" w:rsidRPr="008F4B54">
        <w:rPr>
          <w:rFonts w:ascii="Arial" w:hAnsi="Arial" w:cs="Arial"/>
          <w:sz w:val="20"/>
          <w:szCs w:val="20"/>
        </w:rPr>
        <w:t>0</w:t>
      </w:r>
      <w:r w:rsidR="00C55782" w:rsidRPr="008F4B54">
        <w:rPr>
          <w:rFonts w:ascii="Arial" w:hAnsi="Arial" w:cs="Arial"/>
          <w:sz w:val="20"/>
          <w:szCs w:val="20"/>
        </w:rPr>
        <w:t>.0</w:t>
      </w:r>
      <w:r w:rsidR="00544D44" w:rsidRPr="008F4B54">
        <w:rPr>
          <w:rFonts w:ascii="Arial" w:hAnsi="Arial" w:cs="Arial"/>
          <w:sz w:val="20"/>
          <w:szCs w:val="20"/>
        </w:rPr>
        <w:t>0</w:t>
      </w:r>
      <w:r w:rsidR="009B1F94" w:rsidRPr="008F4B54">
        <w:rPr>
          <w:rFonts w:ascii="Arial" w:hAnsi="Arial" w:cs="Arial"/>
          <w:sz w:val="20"/>
          <w:szCs w:val="20"/>
        </w:rPr>
        <w:tab/>
      </w:r>
      <w:r w:rsidR="0028542E" w:rsidRPr="008F4B54">
        <w:rPr>
          <w:rFonts w:ascii="Arial" w:hAnsi="Arial" w:cs="Arial"/>
          <w:sz w:val="20"/>
          <w:szCs w:val="20"/>
        </w:rPr>
        <w:t>-0.4</w:t>
      </w:r>
      <w:r w:rsidR="00544D44" w:rsidRPr="008F4B54">
        <w:rPr>
          <w:rFonts w:ascii="Arial" w:hAnsi="Arial" w:cs="Arial"/>
          <w:sz w:val="20"/>
          <w:szCs w:val="20"/>
        </w:rPr>
        <w:t>0</w:t>
      </w:r>
    </w:p>
    <w:p w14:paraId="76DD2AB0" w14:textId="7BF0D083" w:rsidR="0028542E" w:rsidRPr="008F4B54" w:rsidRDefault="0028542E" w:rsidP="0028542E">
      <w:pPr>
        <w:ind w:left="2835"/>
        <w:rPr>
          <w:rFonts w:ascii="Arial" w:hAnsi="Arial" w:cs="Arial"/>
          <w:sz w:val="20"/>
          <w:szCs w:val="20"/>
        </w:rPr>
      </w:pPr>
      <w:r w:rsidRPr="008F4B54">
        <w:rPr>
          <w:rFonts w:ascii="Arial" w:hAnsi="Arial" w:cs="Arial"/>
          <w:sz w:val="20"/>
          <w:szCs w:val="20"/>
        </w:rPr>
        <w:t>-0.4</w:t>
      </w:r>
      <w:r w:rsidR="00544D44" w:rsidRPr="008F4B54">
        <w:rPr>
          <w:rFonts w:ascii="Arial" w:hAnsi="Arial" w:cs="Arial"/>
          <w:sz w:val="20"/>
          <w:szCs w:val="20"/>
        </w:rPr>
        <w:t>0</w:t>
      </w:r>
      <w:r w:rsidR="00C55782" w:rsidRPr="008F4B54">
        <w:rPr>
          <w:rFonts w:ascii="Arial" w:hAnsi="Arial" w:cs="Arial"/>
          <w:sz w:val="20"/>
          <w:szCs w:val="20"/>
        </w:rPr>
        <w:tab/>
      </w:r>
      <w:r w:rsidR="002C1D26" w:rsidRPr="008F4B54">
        <w:rPr>
          <w:rFonts w:ascii="Arial" w:hAnsi="Arial" w:cs="Arial"/>
          <w:sz w:val="20"/>
          <w:szCs w:val="20"/>
        </w:rPr>
        <w:t xml:space="preserve"> </w:t>
      </w:r>
      <w:r w:rsidRPr="008F4B54">
        <w:rPr>
          <w:rFonts w:ascii="Arial" w:hAnsi="Arial" w:cs="Arial"/>
          <w:sz w:val="20"/>
          <w:szCs w:val="20"/>
        </w:rPr>
        <w:t>1</w:t>
      </w:r>
      <w:r w:rsidR="00C55782" w:rsidRPr="008F4B54">
        <w:rPr>
          <w:rFonts w:ascii="Arial" w:hAnsi="Arial" w:cs="Arial"/>
          <w:sz w:val="20"/>
          <w:szCs w:val="20"/>
        </w:rPr>
        <w:t>.</w:t>
      </w:r>
      <w:r w:rsidR="00544D44" w:rsidRPr="008F4B54">
        <w:rPr>
          <w:rFonts w:ascii="Arial" w:hAnsi="Arial" w:cs="Arial"/>
          <w:sz w:val="20"/>
          <w:szCs w:val="20"/>
        </w:rPr>
        <w:t>0</w:t>
      </w:r>
      <w:r w:rsidR="00C55782" w:rsidRPr="008F4B54">
        <w:rPr>
          <w:rFonts w:ascii="Arial" w:hAnsi="Arial" w:cs="Arial"/>
          <w:sz w:val="20"/>
          <w:szCs w:val="20"/>
        </w:rPr>
        <w:t>0</w:t>
      </w:r>
      <w:r w:rsidR="00C55782" w:rsidRPr="008F4B54">
        <w:rPr>
          <w:rFonts w:ascii="Arial" w:hAnsi="Arial" w:cs="Arial"/>
          <w:sz w:val="20"/>
          <w:szCs w:val="20"/>
        </w:rPr>
        <w:tab/>
      </w:r>
      <w:r w:rsidR="002C1D26" w:rsidRPr="008F4B54">
        <w:rPr>
          <w:rFonts w:ascii="Arial" w:hAnsi="Arial" w:cs="Arial"/>
          <w:sz w:val="20"/>
          <w:szCs w:val="20"/>
        </w:rPr>
        <w:t xml:space="preserve"> </w:t>
      </w:r>
      <w:r w:rsidRPr="008F4B54">
        <w:rPr>
          <w:rFonts w:ascii="Arial" w:hAnsi="Arial" w:cs="Arial"/>
          <w:sz w:val="20"/>
          <w:szCs w:val="20"/>
        </w:rPr>
        <w:t>0.72</w:t>
      </w:r>
      <w:r w:rsidR="00C55782" w:rsidRPr="008F4B54">
        <w:rPr>
          <w:rFonts w:ascii="Arial" w:hAnsi="Arial" w:cs="Arial"/>
          <w:sz w:val="20"/>
          <w:szCs w:val="20"/>
        </w:rPr>
        <w:tab/>
      </w:r>
      <w:r w:rsidR="002C1D26" w:rsidRPr="008F4B54">
        <w:rPr>
          <w:rFonts w:ascii="Arial" w:hAnsi="Arial" w:cs="Arial"/>
          <w:sz w:val="20"/>
          <w:szCs w:val="20"/>
        </w:rPr>
        <w:t xml:space="preserve"> </w:t>
      </w:r>
      <w:r w:rsidRPr="008F4B54">
        <w:rPr>
          <w:rFonts w:ascii="Arial" w:hAnsi="Arial" w:cs="Arial"/>
          <w:sz w:val="20"/>
          <w:szCs w:val="20"/>
        </w:rPr>
        <w:t>0.47</w:t>
      </w:r>
      <w:r w:rsidR="00C55782" w:rsidRPr="008F4B54">
        <w:rPr>
          <w:rFonts w:ascii="Arial" w:hAnsi="Arial" w:cs="Arial"/>
          <w:sz w:val="20"/>
          <w:szCs w:val="20"/>
        </w:rPr>
        <w:tab/>
      </w:r>
      <w:r w:rsidR="002C1D26" w:rsidRPr="008F4B54">
        <w:rPr>
          <w:rFonts w:ascii="Arial" w:hAnsi="Arial" w:cs="Arial"/>
          <w:sz w:val="20"/>
          <w:szCs w:val="20"/>
        </w:rPr>
        <w:t xml:space="preserve"> </w:t>
      </w:r>
      <w:r w:rsidRPr="008F4B54">
        <w:rPr>
          <w:rFonts w:ascii="Arial" w:hAnsi="Arial" w:cs="Arial"/>
          <w:sz w:val="20"/>
          <w:szCs w:val="20"/>
        </w:rPr>
        <w:t>0.98</w:t>
      </w:r>
      <w:r w:rsidR="00466798" w:rsidRPr="008F4B54">
        <w:rPr>
          <w:rFonts w:ascii="Arial" w:hAnsi="Arial" w:cs="Arial"/>
          <w:sz w:val="20"/>
          <w:szCs w:val="20"/>
        </w:rPr>
        <w:tab/>
      </w:r>
      <w:r w:rsidRPr="008F4B54">
        <w:rPr>
          <w:rFonts w:ascii="Arial" w:hAnsi="Arial" w:cs="Arial"/>
          <w:sz w:val="20"/>
          <w:szCs w:val="20"/>
        </w:rPr>
        <w:t>-0.01</w:t>
      </w:r>
    </w:p>
    <w:p w14:paraId="1DBB9A80" w14:textId="4CA65ECD" w:rsidR="0028542E" w:rsidRPr="008F4B54" w:rsidRDefault="0028542E" w:rsidP="0028542E">
      <w:pPr>
        <w:ind w:left="2835"/>
        <w:rPr>
          <w:rFonts w:ascii="Arial" w:hAnsi="Arial" w:cs="Arial"/>
          <w:sz w:val="20"/>
          <w:szCs w:val="20"/>
        </w:rPr>
      </w:pPr>
      <w:r w:rsidRPr="008F4B54">
        <w:rPr>
          <w:rFonts w:ascii="Arial" w:hAnsi="Arial" w:cs="Arial"/>
          <w:sz w:val="20"/>
          <w:szCs w:val="20"/>
        </w:rPr>
        <w:t>-0.60</w:t>
      </w:r>
      <w:r w:rsidR="00544D44" w:rsidRPr="008F4B54">
        <w:rPr>
          <w:rFonts w:ascii="Arial" w:hAnsi="Arial" w:cs="Arial"/>
          <w:sz w:val="20"/>
          <w:szCs w:val="20"/>
        </w:rPr>
        <w:tab/>
      </w:r>
      <w:r w:rsidR="002C1D26" w:rsidRPr="008F4B54">
        <w:rPr>
          <w:rFonts w:ascii="Arial" w:hAnsi="Arial" w:cs="Arial"/>
          <w:sz w:val="20"/>
          <w:szCs w:val="20"/>
        </w:rPr>
        <w:t xml:space="preserve"> </w:t>
      </w:r>
      <w:r w:rsidRPr="008F4B54">
        <w:rPr>
          <w:rFonts w:ascii="Arial" w:hAnsi="Arial" w:cs="Arial"/>
          <w:sz w:val="20"/>
          <w:szCs w:val="20"/>
        </w:rPr>
        <w:t>0.72</w:t>
      </w:r>
      <w:r w:rsidR="00544D44" w:rsidRPr="008F4B54">
        <w:rPr>
          <w:rFonts w:ascii="Arial" w:hAnsi="Arial" w:cs="Arial"/>
          <w:sz w:val="20"/>
          <w:szCs w:val="20"/>
        </w:rPr>
        <w:tab/>
      </w:r>
      <w:r w:rsidR="002C1D26" w:rsidRPr="008F4B54">
        <w:rPr>
          <w:rFonts w:ascii="Arial" w:hAnsi="Arial" w:cs="Arial"/>
          <w:sz w:val="20"/>
          <w:szCs w:val="20"/>
        </w:rPr>
        <w:t xml:space="preserve"> </w:t>
      </w:r>
      <w:r w:rsidRPr="008F4B54">
        <w:rPr>
          <w:rFonts w:ascii="Arial" w:hAnsi="Arial" w:cs="Arial"/>
          <w:sz w:val="20"/>
          <w:szCs w:val="20"/>
        </w:rPr>
        <w:t>1.00</w:t>
      </w:r>
      <w:r w:rsidR="00544D44" w:rsidRPr="008F4B54">
        <w:rPr>
          <w:rFonts w:ascii="Arial" w:hAnsi="Arial" w:cs="Arial"/>
          <w:sz w:val="20"/>
          <w:szCs w:val="20"/>
        </w:rPr>
        <w:tab/>
      </w:r>
      <w:r w:rsidR="002C1D26" w:rsidRPr="008F4B54">
        <w:rPr>
          <w:rFonts w:ascii="Arial" w:hAnsi="Arial" w:cs="Arial"/>
          <w:sz w:val="20"/>
          <w:szCs w:val="20"/>
        </w:rPr>
        <w:t xml:space="preserve"> </w:t>
      </w:r>
      <w:r w:rsidRPr="008F4B54">
        <w:rPr>
          <w:rFonts w:ascii="Arial" w:hAnsi="Arial" w:cs="Arial"/>
          <w:sz w:val="20"/>
          <w:szCs w:val="20"/>
        </w:rPr>
        <w:t>0.53</w:t>
      </w:r>
      <w:r w:rsidR="00C178A6" w:rsidRPr="008F4B54">
        <w:rPr>
          <w:rFonts w:ascii="Arial" w:hAnsi="Arial" w:cs="Arial"/>
          <w:sz w:val="20"/>
          <w:szCs w:val="20"/>
        </w:rPr>
        <w:tab/>
      </w:r>
      <w:r w:rsidR="002C1D26" w:rsidRPr="008F4B54">
        <w:rPr>
          <w:rFonts w:ascii="Arial" w:hAnsi="Arial" w:cs="Arial"/>
          <w:sz w:val="20"/>
          <w:szCs w:val="20"/>
        </w:rPr>
        <w:t xml:space="preserve"> </w:t>
      </w:r>
      <w:r w:rsidRPr="008F4B54">
        <w:rPr>
          <w:rFonts w:ascii="Arial" w:hAnsi="Arial" w:cs="Arial"/>
          <w:sz w:val="20"/>
          <w:szCs w:val="20"/>
        </w:rPr>
        <w:t>0.72</w:t>
      </w:r>
      <w:r w:rsidR="00C178A6" w:rsidRPr="008F4B54">
        <w:rPr>
          <w:rFonts w:ascii="Arial" w:hAnsi="Arial" w:cs="Arial"/>
          <w:sz w:val="20"/>
          <w:szCs w:val="20"/>
        </w:rPr>
        <w:tab/>
      </w:r>
      <w:r w:rsidR="002C1D26" w:rsidRPr="008F4B54">
        <w:rPr>
          <w:rFonts w:ascii="Arial" w:hAnsi="Arial" w:cs="Arial"/>
          <w:sz w:val="20"/>
          <w:szCs w:val="20"/>
        </w:rPr>
        <w:t xml:space="preserve"> </w:t>
      </w:r>
      <w:r w:rsidRPr="008F4B54">
        <w:rPr>
          <w:rFonts w:ascii="Arial" w:hAnsi="Arial" w:cs="Arial"/>
          <w:sz w:val="20"/>
          <w:szCs w:val="20"/>
        </w:rPr>
        <w:t>0</w:t>
      </w:r>
      <w:r w:rsidR="00C178A6" w:rsidRPr="008F4B54">
        <w:rPr>
          <w:rFonts w:ascii="Arial" w:hAnsi="Arial" w:cs="Arial"/>
          <w:sz w:val="20"/>
          <w:szCs w:val="20"/>
        </w:rPr>
        <w:t>.00</w:t>
      </w:r>
    </w:p>
    <w:p w14:paraId="4122DE04" w14:textId="29200681" w:rsidR="0028542E" w:rsidRPr="008F4B54" w:rsidRDefault="002C1D26" w:rsidP="0028542E">
      <w:pPr>
        <w:ind w:left="2835"/>
        <w:rPr>
          <w:rFonts w:ascii="Arial" w:hAnsi="Arial" w:cs="Arial"/>
          <w:sz w:val="20"/>
          <w:szCs w:val="20"/>
        </w:rPr>
      </w:pPr>
      <w:r w:rsidRPr="008F4B54">
        <w:rPr>
          <w:rFonts w:ascii="Arial" w:hAnsi="Arial" w:cs="Arial"/>
          <w:sz w:val="20"/>
          <w:szCs w:val="20"/>
        </w:rPr>
        <w:t xml:space="preserve"> </w:t>
      </w:r>
      <w:r w:rsidR="0028542E" w:rsidRPr="008F4B54">
        <w:rPr>
          <w:rFonts w:ascii="Arial" w:hAnsi="Arial" w:cs="Arial"/>
          <w:sz w:val="20"/>
          <w:szCs w:val="20"/>
        </w:rPr>
        <w:t>0</w:t>
      </w:r>
      <w:r w:rsidR="00146D40" w:rsidRPr="008F4B54">
        <w:rPr>
          <w:rFonts w:ascii="Arial" w:hAnsi="Arial" w:cs="Arial"/>
          <w:sz w:val="20"/>
          <w:szCs w:val="20"/>
        </w:rPr>
        <w:t>.00</w:t>
      </w:r>
      <w:r w:rsidR="00146D40" w:rsidRPr="008F4B54">
        <w:rPr>
          <w:rFonts w:ascii="Arial" w:hAnsi="Arial" w:cs="Arial"/>
          <w:sz w:val="20"/>
          <w:szCs w:val="20"/>
        </w:rPr>
        <w:tab/>
      </w:r>
      <w:r w:rsidRPr="008F4B54">
        <w:rPr>
          <w:rFonts w:ascii="Arial" w:hAnsi="Arial" w:cs="Arial"/>
          <w:sz w:val="20"/>
          <w:szCs w:val="20"/>
        </w:rPr>
        <w:t xml:space="preserve"> </w:t>
      </w:r>
      <w:r w:rsidR="0028542E" w:rsidRPr="008F4B54">
        <w:rPr>
          <w:rFonts w:ascii="Arial" w:hAnsi="Arial" w:cs="Arial"/>
          <w:sz w:val="20"/>
          <w:szCs w:val="20"/>
        </w:rPr>
        <w:t>0.47</w:t>
      </w:r>
      <w:r w:rsidR="000B74B3" w:rsidRPr="008F4B54">
        <w:rPr>
          <w:rFonts w:ascii="Arial" w:hAnsi="Arial" w:cs="Arial"/>
          <w:sz w:val="20"/>
          <w:szCs w:val="20"/>
        </w:rPr>
        <w:tab/>
      </w:r>
      <w:r w:rsidRPr="008F4B54">
        <w:rPr>
          <w:rFonts w:ascii="Arial" w:hAnsi="Arial" w:cs="Arial"/>
          <w:sz w:val="20"/>
          <w:szCs w:val="20"/>
        </w:rPr>
        <w:t xml:space="preserve"> </w:t>
      </w:r>
      <w:r w:rsidR="0028542E" w:rsidRPr="008F4B54">
        <w:rPr>
          <w:rFonts w:ascii="Arial" w:hAnsi="Arial" w:cs="Arial"/>
          <w:sz w:val="20"/>
          <w:szCs w:val="20"/>
        </w:rPr>
        <w:t>0.53</w:t>
      </w:r>
      <w:r w:rsidR="000B74B3" w:rsidRPr="008F4B54">
        <w:rPr>
          <w:rFonts w:ascii="Arial" w:hAnsi="Arial" w:cs="Arial"/>
          <w:sz w:val="20"/>
          <w:szCs w:val="20"/>
        </w:rPr>
        <w:tab/>
      </w:r>
      <w:r w:rsidRPr="008F4B54">
        <w:rPr>
          <w:rFonts w:ascii="Arial" w:hAnsi="Arial" w:cs="Arial"/>
          <w:sz w:val="20"/>
          <w:szCs w:val="20"/>
        </w:rPr>
        <w:t xml:space="preserve"> </w:t>
      </w:r>
      <w:r w:rsidR="0028542E" w:rsidRPr="008F4B54">
        <w:rPr>
          <w:rFonts w:ascii="Arial" w:hAnsi="Arial" w:cs="Arial"/>
          <w:sz w:val="20"/>
          <w:szCs w:val="20"/>
        </w:rPr>
        <w:t>1.00</w:t>
      </w:r>
      <w:r w:rsidR="000B74B3" w:rsidRPr="008F4B54">
        <w:rPr>
          <w:rFonts w:ascii="Arial" w:hAnsi="Arial" w:cs="Arial"/>
          <w:sz w:val="20"/>
          <w:szCs w:val="20"/>
        </w:rPr>
        <w:tab/>
      </w:r>
      <w:r w:rsidRPr="008F4B54">
        <w:rPr>
          <w:rFonts w:ascii="Arial" w:hAnsi="Arial" w:cs="Arial"/>
          <w:sz w:val="20"/>
          <w:szCs w:val="20"/>
        </w:rPr>
        <w:t xml:space="preserve"> </w:t>
      </w:r>
      <w:r w:rsidR="0028542E" w:rsidRPr="008F4B54">
        <w:rPr>
          <w:rFonts w:ascii="Arial" w:hAnsi="Arial" w:cs="Arial"/>
          <w:sz w:val="20"/>
          <w:szCs w:val="20"/>
        </w:rPr>
        <w:t>0.47</w:t>
      </w:r>
      <w:r w:rsidR="000B74B3" w:rsidRPr="008F4B54">
        <w:rPr>
          <w:rFonts w:ascii="Arial" w:hAnsi="Arial" w:cs="Arial"/>
          <w:sz w:val="20"/>
          <w:szCs w:val="20"/>
        </w:rPr>
        <w:tab/>
      </w:r>
      <w:r w:rsidRPr="008F4B54">
        <w:rPr>
          <w:rFonts w:ascii="Arial" w:hAnsi="Arial" w:cs="Arial"/>
          <w:sz w:val="20"/>
          <w:szCs w:val="20"/>
        </w:rPr>
        <w:t xml:space="preserve"> </w:t>
      </w:r>
      <w:r w:rsidR="0028542E" w:rsidRPr="008F4B54">
        <w:rPr>
          <w:rFonts w:ascii="Arial" w:hAnsi="Arial" w:cs="Arial"/>
          <w:sz w:val="20"/>
          <w:szCs w:val="20"/>
        </w:rPr>
        <w:t>0.04</w:t>
      </w:r>
    </w:p>
    <w:p w14:paraId="6874ADF4" w14:textId="6351089E" w:rsidR="000861A0" w:rsidRPr="008F4B54" w:rsidRDefault="002C1D26" w:rsidP="0028542E">
      <w:pPr>
        <w:ind w:left="2835"/>
        <w:rPr>
          <w:rFonts w:ascii="Arial" w:hAnsi="Arial" w:cs="Arial"/>
          <w:sz w:val="20"/>
          <w:szCs w:val="20"/>
        </w:rPr>
      </w:pPr>
      <w:r w:rsidRPr="008F4B54">
        <w:rPr>
          <w:rFonts w:ascii="Arial" w:hAnsi="Arial" w:cs="Arial"/>
          <w:sz w:val="20"/>
          <w:szCs w:val="20"/>
        </w:rPr>
        <w:t xml:space="preserve"> </w:t>
      </w:r>
      <w:r w:rsidR="0028542E" w:rsidRPr="008F4B54">
        <w:rPr>
          <w:rFonts w:ascii="Arial" w:hAnsi="Arial" w:cs="Arial"/>
          <w:sz w:val="20"/>
          <w:szCs w:val="20"/>
        </w:rPr>
        <w:t>0</w:t>
      </w:r>
      <w:r w:rsidR="000861A0" w:rsidRPr="008F4B54">
        <w:rPr>
          <w:rFonts w:ascii="Arial" w:hAnsi="Arial" w:cs="Arial"/>
          <w:sz w:val="20"/>
          <w:szCs w:val="20"/>
        </w:rPr>
        <w:t>.00</w:t>
      </w:r>
      <w:r w:rsidR="000861A0" w:rsidRPr="008F4B54">
        <w:rPr>
          <w:rFonts w:ascii="Arial" w:hAnsi="Arial" w:cs="Arial"/>
          <w:sz w:val="20"/>
          <w:szCs w:val="20"/>
        </w:rPr>
        <w:tab/>
      </w:r>
      <w:r w:rsidRPr="008F4B54">
        <w:rPr>
          <w:rFonts w:ascii="Arial" w:hAnsi="Arial" w:cs="Arial"/>
          <w:sz w:val="20"/>
          <w:szCs w:val="20"/>
        </w:rPr>
        <w:t xml:space="preserve"> </w:t>
      </w:r>
      <w:r w:rsidR="0028542E" w:rsidRPr="008F4B54">
        <w:rPr>
          <w:rFonts w:ascii="Arial" w:hAnsi="Arial" w:cs="Arial"/>
          <w:sz w:val="20"/>
          <w:szCs w:val="20"/>
        </w:rPr>
        <w:t>0.98</w:t>
      </w:r>
      <w:r w:rsidR="000861A0" w:rsidRPr="008F4B54">
        <w:rPr>
          <w:rFonts w:ascii="Arial" w:hAnsi="Arial" w:cs="Arial"/>
          <w:sz w:val="20"/>
          <w:szCs w:val="20"/>
        </w:rPr>
        <w:tab/>
      </w:r>
      <w:r w:rsidRPr="008F4B54">
        <w:rPr>
          <w:rFonts w:ascii="Arial" w:hAnsi="Arial" w:cs="Arial"/>
          <w:sz w:val="20"/>
          <w:szCs w:val="20"/>
        </w:rPr>
        <w:t xml:space="preserve"> </w:t>
      </w:r>
      <w:r w:rsidR="0028542E" w:rsidRPr="008F4B54">
        <w:rPr>
          <w:rFonts w:ascii="Arial" w:hAnsi="Arial" w:cs="Arial"/>
          <w:sz w:val="20"/>
          <w:szCs w:val="20"/>
        </w:rPr>
        <w:t>0.72</w:t>
      </w:r>
      <w:r w:rsidR="000861A0" w:rsidRPr="008F4B54">
        <w:rPr>
          <w:rFonts w:ascii="Arial" w:hAnsi="Arial" w:cs="Arial"/>
          <w:sz w:val="20"/>
          <w:szCs w:val="20"/>
        </w:rPr>
        <w:tab/>
      </w:r>
      <w:r w:rsidRPr="008F4B54">
        <w:rPr>
          <w:rFonts w:ascii="Arial" w:hAnsi="Arial" w:cs="Arial"/>
          <w:sz w:val="20"/>
          <w:szCs w:val="20"/>
        </w:rPr>
        <w:t xml:space="preserve"> </w:t>
      </w:r>
      <w:r w:rsidR="0028542E" w:rsidRPr="008F4B54">
        <w:rPr>
          <w:rFonts w:ascii="Arial" w:hAnsi="Arial" w:cs="Arial"/>
          <w:sz w:val="20"/>
          <w:szCs w:val="20"/>
        </w:rPr>
        <w:t>0.47</w:t>
      </w:r>
      <w:r w:rsidR="000861A0" w:rsidRPr="008F4B54">
        <w:rPr>
          <w:rFonts w:ascii="Arial" w:hAnsi="Arial" w:cs="Arial"/>
          <w:sz w:val="20"/>
          <w:szCs w:val="20"/>
        </w:rPr>
        <w:tab/>
      </w:r>
      <w:r w:rsidRPr="008F4B54">
        <w:rPr>
          <w:rFonts w:ascii="Arial" w:hAnsi="Arial" w:cs="Arial"/>
          <w:sz w:val="20"/>
          <w:szCs w:val="20"/>
        </w:rPr>
        <w:t xml:space="preserve"> </w:t>
      </w:r>
      <w:r w:rsidR="0028542E" w:rsidRPr="008F4B54">
        <w:rPr>
          <w:rFonts w:ascii="Arial" w:hAnsi="Arial" w:cs="Arial"/>
          <w:sz w:val="20"/>
          <w:szCs w:val="20"/>
        </w:rPr>
        <w:t>1.00</w:t>
      </w:r>
      <w:r w:rsidR="000861A0" w:rsidRPr="008F4B54">
        <w:rPr>
          <w:rFonts w:ascii="Arial" w:hAnsi="Arial" w:cs="Arial"/>
          <w:sz w:val="20"/>
          <w:szCs w:val="20"/>
        </w:rPr>
        <w:tab/>
      </w:r>
      <w:r w:rsidR="0028542E" w:rsidRPr="008F4B54">
        <w:rPr>
          <w:rFonts w:ascii="Arial" w:hAnsi="Arial" w:cs="Arial"/>
          <w:sz w:val="20"/>
          <w:szCs w:val="20"/>
        </w:rPr>
        <w:t>-0.01</w:t>
      </w:r>
    </w:p>
    <w:p w14:paraId="730DFB82" w14:textId="36C47096" w:rsidR="0028542E" w:rsidRPr="008F4B54" w:rsidRDefault="005B09F7" w:rsidP="0028542E">
      <w:pPr>
        <w:ind w:left="2835"/>
        <w:rPr>
          <w:rFonts w:ascii="Arial" w:hAnsi="Arial" w:cs="Arial"/>
          <w:sz w:val="20"/>
          <w:szCs w:val="20"/>
        </w:rPr>
      </w:pPr>
      <w:r w:rsidRPr="008F4B54">
        <w:rPr>
          <w:rFonts w:ascii="Arial" w:hAnsi="Arial" w:cs="Arial"/>
          <w:sz w:val="20"/>
          <w:szCs w:val="20"/>
        </w:rPr>
        <w:t>-</w:t>
      </w:r>
      <w:r w:rsidR="0028542E" w:rsidRPr="008F4B54">
        <w:rPr>
          <w:rFonts w:ascii="Arial" w:hAnsi="Arial" w:cs="Arial"/>
          <w:sz w:val="20"/>
          <w:szCs w:val="20"/>
        </w:rPr>
        <w:t>0.40</w:t>
      </w:r>
      <w:r w:rsidRPr="008F4B54">
        <w:rPr>
          <w:rFonts w:ascii="Arial" w:hAnsi="Arial" w:cs="Arial"/>
          <w:sz w:val="20"/>
          <w:szCs w:val="20"/>
        </w:rPr>
        <w:tab/>
      </w:r>
      <w:r w:rsidR="0028542E" w:rsidRPr="008F4B54">
        <w:rPr>
          <w:rFonts w:ascii="Arial" w:hAnsi="Arial" w:cs="Arial"/>
          <w:sz w:val="20"/>
          <w:szCs w:val="20"/>
        </w:rPr>
        <w:t>-0.01</w:t>
      </w:r>
      <w:r w:rsidRPr="008F4B54">
        <w:rPr>
          <w:rFonts w:ascii="Arial" w:hAnsi="Arial" w:cs="Arial"/>
          <w:sz w:val="20"/>
          <w:szCs w:val="20"/>
        </w:rPr>
        <w:tab/>
      </w:r>
      <w:r w:rsidR="002C1D26" w:rsidRPr="008F4B54">
        <w:rPr>
          <w:rFonts w:ascii="Arial" w:hAnsi="Arial" w:cs="Arial"/>
          <w:sz w:val="20"/>
          <w:szCs w:val="20"/>
        </w:rPr>
        <w:t xml:space="preserve"> </w:t>
      </w:r>
      <w:r w:rsidR="0028542E" w:rsidRPr="008F4B54">
        <w:rPr>
          <w:rFonts w:ascii="Arial" w:hAnsi="Arial" w:cs="Arial"/>
          <w:sz w:val="20"/>
          <w:szCs w:val="20"/>
        </w:rPr>
        <w:t>0</w:t>
      </w:r>
      <w:r w:rsidRPr="008F4B54">
        <w:rPr>
          <w:rFonts w:ascii="Arial" w:hAnsi="Arial" w:cs="Arial"/>
          <w:sz w:val="20"/>
          <w:szCs w:val="20"/>
        </w:rPr>
        <w:t>.00</w:t>
      </w:r>
      <w:r w:rsidRPr="008F4B54">
        <w:rPr>
          <w:rFonts w:ascii="Arial" w:hAnsi="Arial" w:cs="Arial"/>
          <w:sz w:val="20"/>
          <w:szCs w:val="20"/>
        </w:rPr>
        <w:tab/>
      </w:r>
      <w:r w:rsidR="002C1D26" w:rsidRPr="008F4B54">
        <w:rPr>
          <w:rFonts w:ascii="Arial" w:hAnsi="Arial" w:cs="Arial"/>
          <w:sz w:val="20"/>
          <w:szCs w:val="20"/>
        </w:rPr>
        <w:t xml:space="preserve"> </w:t>
      </w:r>
      <w:r w:rsidR="0028542E" w:rsidRPr="008F4B54">
        <w:rPr>
          <w:rFonts w:ascii="Arial" w:hAnsi="Arial" w:cs="Arial"/>
          <w:sz w:val="20"/>
          <w:szCs w:val="20"/>
        </w:rPr>
        <w:t>0.04</w:t>
      </w:r>
      <w:r w:rsidRPr="008F4B54">
        <w:rPr>
          <w:rFonts w:ascii="Arial" w:hAnsi="Arial" w:cs="Arial"/>
          <w:sz w:val="20"/>
          <w:szCs w:val="20"/>
        </w:rPr>
        <w:tab/>
      </w:r>
      <w:r w:rsidR="0028542E" w:rsidRPr="008F4B54">
        <w:rPr>
          <w:rFonts w:ascii="Arial" w:hAnsi="Arial" w:cs="Arial"/>
          <w:sz w:val="20"/>
          <w:szCs w:val="20"/>
        </w:rPr>
        <w:t>-0.01</w:t>
      </w:r>
      <w:r w:rsidRPr="008F4B54">
        <w:rPr>
          <w:rFonts w:ascii="Arial" w:hAnsi="Arial" w:cs="Arial"/>
          <w:sz w:val="20"/>
          <w:szCs w:val="20"/>
        </w:rPr>
        <w:tab/>
      </w:r>
      <w:r w:rsidR="002C1D26" w:rsidRPr="008F4B54">
        <w:rPr>
          <w:rFonts w:ascii="Arial" w:hAnsi="Arial" w:cs="Arial"/>
          <w:sz w:val="20"/>
          <w:szCs w:val="20"/>
        </w:rPr>
        <w:t xml:space="preserve"> </w:t>
      </w:r>
      <w:r w:rsidR="0028542E" w:rsidRPr="008F4B54">
        <w:rPr>
          <w:rFonts w:ascii="Arial" w:hAnsi="Arial" w:cs="Arial"/>
          <w:sz w:val="20"/>
          <w:szCs w:val="20"/>
        </w:rPr>
        <w:t>1.00</w:t>
      </w:r>
    </w:p>
    <w:p w14:paraId="7FD92BD3" w14:textId="5BBC2A49" w:rsidR="0028542E" w:rsidRPr="008F4B54" w:rsidRDefault="0028542E" w:rsidP="003F27D1">
      <w:pPr>
        <w:jc w:val="both"/>
        <w:rPr>
          <w:rFonts w:ascii="Arial" w:hAnsi="Arial" w:cs="Arial"/>
          <w:sz w:val="20"/>
          <w:szCs w:val="20"/>
        </w:rPr>
      </w:pPr>
      <w:r w:rsidRPr="008F4B54">
        <w:rPr>
          <w:rFonts w:ascii="Arial" w:hAnsi="Arial" w:cs="Arial"/>
          <w:sz w:val="20"/>
          <w:szCs w:val="20"/>
        </w:rPr>
        <w:t>This correlation matrix is needed for generating large scale parameters</w:t>
      </w:r>
      <w:r w:rsidRPr="008F4B54">
        <w:rPr>
          <w:rFonts w:ascii="Arial" w:hAnsi="Arial" w:cs="Arial"/>
          <w:sz w:val="20"/>
          <w:szCs w:val="20"/>
          <w:lang w:eastAsia="ko-KR"/>
        </w:rPr>
        <w:t>,</w:t>
      </w:r>
      <w:r w:rsidRPr="008F4B54">
        <w:rPr>
          <w:rFonts w:ascii="Arial" w:hAnsi="Arial" w:cs="Arial"/>
          <w:sz w:val="20"/>
          <w:szCs w:val="20"/>
        </w:rPr>
        <w:t xml:space="preserve"> e.g. delay spread</w:t>
      </w:r>
      <w:r w:rsidRPr="008F4B54">
        <w:rPr>
          <w:rFonts w:ascii="Arial" w:hAnsi="Arial" w:cs="Arial"/>
          <w:sz w:val="20"/>
          <w:szCs w:val="20"/>
          <w:lang w:eastAsia="ko-KR"/>
        </w:rPr>
        <w:t xml:space="preserve"> (DS)</w:t>
      </w:r>
      <w:r w:rsidRPr="008F4B54">
        <w:rPr>
          <w:rFonts w:ascii="Arial" w:hAnsi="Arial" w:cs="Arial"/>
          <w:sz w:val="20"/>
          <w:szCs w:val="20"/>
        </w:rPr>
        <w:t>, angular spreads</w:t>
      </w:r>
      <w:r w:rsidRPr="008F4B54">
        <w:rPr>
          <w:rFonts w:ascii="Arial" w:hAnsi="Arial" w:cs="Arial"/>
          <w:sz w:val="20"/>
          <w:szCs w:val="20"/>
          <w:lang w:eastAsia="ko-KR"/>
        </w:rPr>
        <w:t xml:space="preserve"> </w:t>
      </w:r>
      <w:r w:rsidRPr="008F4B54">
        <w:rPr>
          <w:rFonts w:ascii="Arial" w:hAnsi="Arial" w:cs="Arial"/>
          <w:sz w:val="20"/>
          <w:szCs w:val="20"/>
        </w:rPr>
        <w:t xml:space="preserve">(ASA, ASD, ZSA, ZSD), </w:t>
      </w:r>
      <w:proofErr w:type="spellStart"/>
      <w:r w:rsidRPr="008F4B54">
        <w:rPr>
          <w:rFonts w:ascii="Arial" w:hAnsi="Arial" w:cs="Arial"/>
          <w:sz w:val="20"/>
          <w:szCs w:val="20"/>
        </w:rPr>
        <w:t>Ricean</w:t>
      </w:r>
      <w:proofErr w:type="spellEnd"/>
      <w:r w:rsidRPr="008F4B54">
        <w:rPr>
          <w:rFonts w:ascii="Arial" w:hAnsi="Arial" w:cs="Arial"/>
          <w:sz w:val="20"/>
          <w:szCs w:val="20"/>
        </w:rPr>
        <w:t xml:space="preserve"> K factor </w:t>
      </w:r>
      <w:r w:rsidRPr="008F4B54">
        <w:rPr>
          <w:rFonts w:ascii="Arial" w:hAnsi="Arial" w:cs="Arial"/>
          <w:sz w:val="20"/>
          <w:szCs w:val="20"/>
          <w:lang w:eastAsia="ko-KR"/>
        </w:rPr>
        <w:t xml:space="preserve">(K) </w:t>
      </w:r>
      <w:r w:rsidRPr="008F4B54">
        <w:rPr>
          <w:rFonts w:ascii="Arial" w:hAnsi="Arial" w:cs="Arial"/>
          <w:sz w:val="20"/>
          <w:szCs w:val="20"/>
        </w:rPr>
        <w:t xml:space="preserve">and shadow fading </w:t>
      </w:r>
      <w:r w:rsidRPr="008F4B54">
        <w:rPr>
          <w:rFonts w:ascii="Arial" w:hAnsi="Arial" w:cs="Arial"/>
          <w:sz w:val="20"/>
          <w:szCs w:val="20"/>
          <w:lang w:eastAsia="ko-KR"/>
        </w:rPr>
        <w:t>(SF)</w:t>
      </w:r>
      <w:r w:rsidR="003F27D1" w:rsidRPr="008F4B54">
        <w:rPr>
          <w:rFonts w:ascii="Arial" w:hAnsi="Arial" w:cs="Arial"/>
          <w:sz w:val="20"/>
          <w:szCs w:val="20"/>
          <w:lang w:eastAsia="ko-KR"/>
        </w:rPr>
        <w:t xml:space="preserve">. To this end, </w:t>
      </w:r>
      <w:r w:rsidRPr="008F4B54">
        <w:rPr>
          <w:rFonts w:ascii="Arial" w:hAnsi="Arial" w:cs="Arial"/>
          <w:sz w:val="20"/>
          <w:szCs w:val="20"/>
        </w:rPr>
        <w:t>the square root matrix</w:t>
      </w:r>
      <w:r w:rsidR="003F27D1" w:rsidRPr="008F4B54">
        <w:rPr>
          <w:rFonts w:ascii="Arial" w:hAnsi="Arial" w:cs="Arial"/>
          <w:sz w:val="20"/>
          <w:szCs w:val="20"/>
        </w:rPr>
        <w:t xml:space="preserve"> of the correlation matrix needs to be</w:t>
      </w:r>
      <w:r w:rsidRPr="008F4B54">
        <w:rPr>
          <w:rFonts w:ascii="Arial" w:hAnsi="Arial" w:cs="Arial"/>
          <w:sz w:val="20"/>
          <w:szCs w:val="20"/>
        </w:rPr>
        <w:t xml:space="preserve"> generated using</w:t>
      </w:r>
      <w:r w:rsidR="003F27D1" w:rsidRPr="008F4B54">
        <w:rPr>
          <w:rFonts w:ascii="Arial" w:hAnsi="Arial" w:cs="Arial"/>
          <w:sz w:val="20"/>
          <w:szCs w:val="20"/>
        </w:rPr>
        <w:t xml:space="preserve"> for example</w:t>
      </w:r>
      <w:r w:rsidRPr="008F4B54">
        <w:rPr>
          <w:rFonts w:ascii="Arial" w:hAnsi="Arial" w:cs="Arial"/>
          <w:sz w:val="20"/>
          <w:szCs w:val="20"/>
        </w:rPr>
        <w:t xml:space="preserve"> the Cholesky decomposition</w:t>
      </w:r>
      <w:r w:rsidR="003F27D1" w:rsidRPr="008F4B54">
        <w:rPr>
          <w:rFonts w:ascii="Arial" w:hAnsi="Arial" w:cs="Arial"/>
          <w:sz w:val="20"/>
          <w:szCs w:val="20"/>
        </w:rPr>
        <w:t>, and thus the correlation matrix should be positive definite. It can be verified that the above matrix is not positive definite (it has a negative eigenvalue of -0.129).</w:t>
      </w:r>
      <w:r w:rsidR="000E40B3" w:rsidRPr="008F4B54">
        <w:rPr>
          <w:rFonts w:ascii="Arial" w:hAnsi="Arial" w:cs="Arial"/>
          <w:sz w:val="20"/>
          <w:szCs w:val="20"/>
        </w:rPr>
        <w:t xml:space="preserve"> There are more cases where the</w:t>
      </w:r>
      <w:r w:rsidR="003F27D1" w:rsidRPr="008F4B54">
        <w:rPr>
          <w:rFonts w:ascii="Arial" w:hAnsi="Arial" w:cs="Arial"/>
          <w:sz w:val="20"/>
          <w:szCs w:val="20"/>
        </w:rPr>
        <w:t xml:space="preserve"> </w:t>
      </w:r>
      <w:r w:rsidR="000E40B3" w:rsidRPr="008F4B54">
        <w:rPr>
          <w:rFonts w:ascii="Arial" w:hAnsi="Arial" w:cs="Arial"/>
          <w:sz w:val="20"/>
          <w:szCs w:val="20"/>
        </w:rPr>
        <w:t>correlation matrices are not positive definite.</w:t>
      </w:r>
    </w:p>
    <w:p w14:paraId="26C32962" w14:textId="319FBCA9" w:rsidR="00134B8C" w:rsidRPr="008F4B54" w:rsidRDefault="00134B8C" w:rsidP="00134B8C">
      <w:pPr>
        <w:pStyle w:val="Observation"/>
        <w:overflowPunct w:val="0"/>
        <w:autoSpaceDE w:val="0"/>
        <w:autoSpaceDN w:val="0"/>
        <w:adjustRightInd w:val="0"/>
        <w:spacing w:line="240" w:lineRule="auto"/>
        <w:textAlignment w:val="baseline"/>
        <w:rPr>
          <w:sz w:val="20"/>
          <w:szCs w:val="20"/>
        </w:rPr>
      </w:pPr>
      <w:bookmarkStart w:id="13" w:name="_Toc16839615"/>
      <w:r w:rsidRPr="008F4B54">
        <w:rPr>
          <w:sz w:val="20"/>
          <w:szCs w:val="20"/>
        </w:rPr>
        <w:t xml:space="preserve">The NTN fast fading channel models in </w:t>
      </w:r>
      <w:r w:rsidRPr="008F4B54">
        <w:rPr>
          <w:rFonts w:cs="Arial"/>
          <w:sz w:val="20"/>
          <w:szCs w:val="20"/>
        </w:rPr>
        <w:t>TR 38.811 V15.1.0 may lead to non-positive definite correlation matrices for large scale parameters.</w:t>
      </w:r>
      <w:bookmarkEnd w:id="13"/>
    </w:p>
    <w:p w14:paraId="1056C000" w14:textId="05EA5C70" w:rsidR="0028542E" w:rsidRPr="00F22649" w:rsidRDefault="00134B8C" w:rsidP="006B5083">
      <w:pPr>
        <w:pStyle w:val="Proposal"/>
        <w:rPr>
          <w:sz w:val="20"/>
          <w:szCs w:val="20"/>
        </w:rPr>
      </w:pPr>
      <w:bookmarkStart w:id="14" w:name="_Toc16839632"/>
      <w:r w:rsidRPr="008F4B54">
        <w:rPr>
          <w:sz w:val="20"/>
          <w:szCs w:val="20"/>
        </w:rPr>
        <w:t xml:space="preserve">RAN1 to carefully check the correctness </w:t>
      </w:r>
      <w:r w:rsidRPr="00F22649">
        <w:rPr>
          <w:sz w:val="20"/>
          <w:szCs w:val="20"/>
        </w:rPr>
        <w:t xml:space="preserve">of the channel models in </w:t>
      </w:r>
      <w:r w:rsidRPr="00F22649">
        <w:rPr>
          <w:rFonts w:cs="Arial"/>
          <w:sz w:val="20"/>
          <w:szCs w:val="20"/>
          <w:lang w:eastAsia="ja-JP"/>
        </w:rPr>
        <w:t>TR 38.811 V15.1.0 before adopting them in Rel-16 NTN evaluations.</w:t>
      </w:r>
      <w:bookmarkEnd w:id="14"/>
    </w:p>
    <w:p w14:paraId="3102A33B" w14:textId="6704BDEE" w:rsidR="000F2F0B" w:rsidRDefault="000F2F0B" w:rsidP="000F2F0B">
      <w:pPr>
        <w:pStyle w:val="Heading2"/>
      </w:pPr>
      <w:r>
        <w:t>2.</w:t>
      </w:r>
      <w:r w:rsidR="00926E1E">
        <w:t>7</w:t>
      </w:r>
      <w:r>
        <w:tab/>
        <w:t>Simulation area</w:t>
      </w:r>
    </w:p>
    <w:p w14:paraId="4D3CDF6E" w14:textId="08761EB6" w:rsidR="000F2F0B" w:rsidRPr="00121032" w:rsidRDefault="000F2F0B" w:rsidP="000F2F0B">
      <w:pPr>
        <w:jc w:val="both"/>
        <w:rPr>
          <w:rFonts w:ascii="Arial" w:hAnsi="Arial" w:cs="Arial"/>
          <w:sz w:val="20"/>
          <w:szCs w:val="20"/>
        </w:rPr>
      </w:pPr>
      <w:r w:rsidRPr="00F22649">
        <w:rPr>
          <w:rFonts w:ascii="Arial" w:hAnsi="Arial" w:cs="Arial"/>
          <w:sz w:val="20"/>
          <w:szCs w:val="20"/>
        </w:rPr>
        <w:t xml:space="preserve">Simulation area of </w:t>
      </w:r>
      <w:r w:rsidR="001E32E5" w:rsidRPr="00F22649">
        <w:rPr>
          <w:rFonts w:ascii="Arial" w:hAnsi="Arial" w:cs="Arial"/>
          <w:sz w:val="20"/>
          <w:szCs w:val="20"/>
        </w:rPr>
        <w:t xml:space="preserve">cells </w:t>
      </w:r>
      <w:r w:rsidRPr="00F22649">
        <w:rPr>
          <w:rFonts w:ascii="Arial" w:hAnsi="Arial" w:cs="Arial"/>
          <w:sz w:val="20"/>
          <w:szCs w:val="20"/>
        </w:rPr>
        <w:t xml:space="preserve">is a basic component in system level simulation. In terrestrial case, the simulation area of </w:t>
      </w:r>
      <w:r w:rsidR="001E32E5" w:rsidRPr="00F22649">
        <w:rPr>
          <w:rFonts w:ascii="Arial" w:hAnsi="Arial" w:cs="Arial"/>
          <w:sz w:val="20"/>
          <w:szCs w:val="20"/>
        </w:rPr>
        <w:t>the</w:t>
      </w:r>
      <w:r w:rsidRPr="00F22649">
        <w:rPr>
          <w:rFonts w:ascii="Arial" w:hAnsi="Arial" w:cs="Arial"/>
          <w:sz w:val="20"/>
          <w:szCs w:val="20"/>
        </w:rPr>
        <w:t xml:space="preserve"> cell</w:t>
      </w:r>
      <w:r w:rsidR="001E32E5" w:rsidRPr="00F22649">
        <w:rPr>
          <w:rFonts w:ascii="Arial" w:hAnsi="Arial" w:cs="Arial"/>
          <w:sz w:val="20"/>
          <w:szCs w:val="20"/>
        </w:rPr>
        <w:t>s</w:t>
      </w:r>
      <w:r w:rsidRPr="00F22649">
        <w:rPr>
          <w:rFonts w:ascii="Arial" w:hAnsi="Arial" w:cs="Arial"/>
          <w:sz w:val="20"/>
          <w:szCs w:val="20"/>
        </w:rPr>
        <w:t xml:space="preserve"> </w:t>
      </w:r>
      <w:r w:rsidR="001E32E5" w:rsidRPr="00F22649">
        <w:rPr>
          <w:rFonts w:ascii="Arial" w:hAnsi="Arial" w:cs="Arial"/>
          <w:sz w:val="20"/>
          <w:szCs w:val="20"/>
        </w:rPr>
        <w:t>is</w:t>
      </w:r>
      <w:r w:rsidRPr="00F22649">
        <w:rPr>
          <w:rFonts w:ascii="Arial" w:hAnsi="Arial" w:cs="Arial"/>
          <w:sz w:val="20"/>
          <w:szCs w:val="20"/>
        </w:rPr>
        <w:t xml:space="preserve"> simply</w:t>
      </w:r>
      <w:r w:rsidR="001E32E5" w:rsidRPr="00F22649">
        <w:rPr>
          <w:rFonts w:ascii="Arial" w:hAnsi="Arial" w:cs="Arial"/>
          <w:sz w:val="20"/>
          <w:szCs w:val="20"/>
        </w:rPr>
        <w:t xml:space="preserve"> the</w:t>
      </w:r>
      <w:r w:rsidRPr="001A0440">
        <w:rPr>
          <w:rFonts w:ascii="Arial" w:hAnsi="Arial" w:cs="Arial"/>
          <w:sz w:val="20"/>
          <w:szCs w:val="20"/>
        </w:rPr>
        <w:t xml:space="preserve"> </w:t>
      </w:r>
      <w:r w:rsidR="001E32E5" w:rsidRPr="001A0440">
        <w:rPr>
          <w:rFonts w:ascii="Arial" w:hAnsi="Arial" w:cs="Arial"/>
          <w:sz w:val="20"/>
          <w:szCs w:val="20"/>
        </w:rPr>
        <w:t>union of</w:t>
      </w:r>
      <w:r w:rsidRPr="001A0440">
        <w:rPr>
          <w:rFonts w:ascii="Arial" w:hAnsi="Arial" w:cs="Arial"/>
          <w:sz w:val="20"/>
          <w:szCs w:val="20"/>
        </w:rPr>
        <w:t xml:space="preserve"> hexagon</w:t>
      </w:r>
      <w:r w:rsidR="001E32E5" w:rsidRPr="001A0440">
        <w:rPr>
          <w:rFonts w:ascii="Arial" w:hAnsi="Arial" w:cs="Arial"/>
          <w:sz w:val="20"/>
          <w:szCs w:val="20"/>
        </w:rPr>
        <w:t>s</w:t>
      </w:r>
      <w:r w:rsidRPr="001A0440">
        <w:rPr>
          <w:rFonts w:ascii="Arial" w:hAnsi="Arial" w:cs="Arial"/>
          <w:sz w:val="20"/>
          <w:szCs w:val="20"/>
        </w:rPr>
        <w:t xml:space="preserve"> and UEs are placed in the hexagon</w:t>
      </w:r>
      <w:r w:rsidR="001E32E5" w:rsidRPr="001A0440">
        <w:rPr>
          <w:rFonts w:ascii="Arial" w:hAnsi="Arial" w:cs="Arial"/>
          <w:sz w:val="20"/>
          <w:szCs w:val="20"/>
        </w:rPr>
        <w:t>s</w:t>
      </w:r>
      <w:r w:rsidRPr="00121032">
        <w:rPr>
          <w:rFonts w:ascii="Arial" w:hAnsi="Arial" w:cs="Arial"/>
          <w:sz w:val="20"/>
          <w:szCs w:val="20"/>
        </w:rPr>
        <w:t xml:space="preserve"> accordingly. </w:t>
      </w:r>
    </w:p>
    <w:p w14:paraId="3354665D" w14:textId="77777777" w:rsidR="000F2F0B" w:rsidRDefault="000F2F0B" w:rsidP="000F2F0B">
      <w:pPr>
        <w:jc w:val="center"/>
        <w:rPr>
          <w:rFonts w:ascii="Arial" w:hAnsi="Arial" w:cs="Arial"/>
          <w:sz w:val="20"/>
          <w:szCs w:val="20"/>
        </w:rPr>
      </w:pPr>
      <w:r>
        <w:rPr>
          <w:noProof/>
        </w:rPr>
        <w:drawing>
          <wp:inline distT="0" distB="0" distL="0" distR="0" wp14:anchorId="4CFCCE7F" wp14:editId="55381F4A">
            <wp:extent cx="2324201" cy="181494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43546" cy="1830052"/>
                    </a:xfrm>
                    <a:prstGeom prst="rect">
                      <a:avLst/>
                    </a:prstGeom>
                  </pic:spPr>
                </pic:pic>
              </a:graphicData>
            </a:graphic>
          </wp:inline>
        </w:drawing>
      </w:r>
    </w:p>
    <w:p w14:paraId="47E7CABD" w14:textId="3D2BD7E9" w:rsidR="000F2F0B" w:rsidRPr="00F22649" w:rsidRDefault="000F2F0B" w:rsidP="000F2F0B">
      <w:pPr>
        <w:pStyle w:val="Caption"/>
        <w:jc w:val="center"/>
        <w:rPr>
          <w:rFonts w:ascii="Arial" w:hAnsi="Arial" w:cs="Arial"/>
          <w:sz w:val="20"/>
          <w:szCs w:val="20"/>
        </w:rPr>
      </w:pPr>
      <w:bookmarkStart w:id="15" w:name="_Ref16086983"/>
      <w:r w:rsidRPr="00EB66AE">
        <w:rPr>
          <w:rFonts w:ascii="Arial" w:hAnsi="Arial" w:cs="Arial"/>
          <w:sz w:val="20"/>
          <w:szCs w:val="20"/>
        </w:rPr>
        <w:t xml:space="preserve">Figure </w:t>
      </w:r>
      <w:r w:rsidRPr="00EB66AE">
        <w:rPr>
          <w:rFonts w:ascii="Arial" w:hAnsi="Arial" w:cs="Arial"/>
          <w:sz w:val="20"/>
          <w:szCs w:val="20"/>
        </w:rPr>
        <w:fldChar w:fldCharType="begin"/>
      </w:r>
      <w:r w:rsidRPr="00EB66AE">
        <w:rPr>
          <w:rFonts w:ascii="Arial" w:hAnsi="Arial" w:cs="Arial"/>
          <w:sz w:val="20"/>
          <w:szCs w:val="20"/>
        </w:rPr>
        <w:instrText xml:space="preserve"> SEQ Figure \* ARABIC </w:instrText>
      </w:r>
      <w:r w:rsidRPr="00EB66AE">
        <w:rPr>
          <w:rFonts w:ascii="Arial" w:hAnsi="Arial" w:cs="Arial"/>
          <w:sz w:val="20"/>
          <w:szCs w:val="20"/>
        </w:rPr>
        <w:fldChar w:fldCharType="separate"/>
      </w:r>
      <w:r w:rsidR="00A34377">
        <w:rPr>
          <w:rFonts w:ascii="Arial" w:hAnsi="Arial" w:cs="Arial"/>
          <w:noProof/>
          <w:sz w:val="20"/>
          <w:szCs w:val="20"/>
        </w:rPr>
        <w:t>1</w:t>
      </w:r>
      <w:r w:rsidRPr="00EB66AE">
        <w:rPr>
          <w:rFonts w:ascii="Arial" w:hAnsi="Arial" w:cs="Arial"/>
          <w:sz w:val="20"/>
          <w:szCs w:val="20"/>
        </w:rPr>
        <w:fldChar w:fldCharType="end"/>
      </w:r>
      <w:bookmarkEnd w:id="15"/>
      <w:r w:rsidRPr="00EB66AE">
        <w:rPr>
          <w:rFonts w:ascii="Arial" w:hAnsi="Arial" w:cs="Arial"/>
          <w:sz w:val="20"/>
          <w:szCs w:val="20"/>
        </w:rPr>
        <w:t>: Ground layout of beams generated based on regular hexagonal beam pattern in UV-plane</w:t>
      </w:r>
      <w:r w:rsidR="000C2A7A" w:rsidRPr="00EB66AE">
        <w:rPr>
          <w:rFonts w:ascii="Arial" w:hAnsi="Arial" w:cs="Arial"/>
          <w:sz w:val="20"/>
          <w:szCs w:val="20"/>
        </w:rPr>
        <w:t xml:space="preserve">. The </w:t>
      </w:r>
      <w:r w:rsidR="006661D7" w:rsidRPr="006661D7">
        <w:rPr>
          <w:rFonts w:ascii="Arial" w:hAnsi="Arial" w:cs="Arial"/>
          <w:sz w:val="20"/>
          <w:szCs w:val="20"/>
        </w:rPr>
        <w:t>center</w:t>
      </w:r>
      <w:r w:rsidR="000C2A7A" w:rsidRPr="00EB66AE">
        <w:rPr>
          <w:rFonts w:ascii="Arial" w:hAnsi="Arial" w:cs="Arial"/>
          <w:sz w:val="20"/>
          <w:szCs w:val="20"/>
        </w:rPr>
        <w:t xml:space="preserve"> </w:t>
      </w:r>
      <w:r w:rsidR="00C91CB1" w:rsidRPr="00EB66AE">
        <w:rPr>
          <w:rFonts w:ascii="Arial" w:hAnsi="Arial" w:cs="Arial"/>
          <w:sz w:val="20"/>
          <w:szCs w:val="20"/>
        </w:rPr>
        <w:t xml:space="preserve">point </w:t>
      </w:r>
      <w:r w:rsidR="000C2A7A" w:rsidRPr="00EB66AE">
        <w:rPr>
          <w:rFonts w:ascii="Arial" w:hAnsi="Arial" w:cs="Arial"/>
          <w:sz w:val="20"/>
          <w:szCs w:val="20"/>
        </w:rPr>
        <w:t xml:space="preserve">of each beam is indicated with a </w:t>
      </w:r>
      <w:r w:rsidR="00C91CB1" w:rsidRPr="00EB66AE">
        <w:rPr>
          <w:rFonts w:ascii="Arial" w:hAnsi="Arial" w:cs="Arial"/>
          <w:sz w:val="20"/>
          <w:szCs w:val="20"/>
        </w:rPr>
        <w:t>bullet.</w:t>
      </w:r>
      <w:r w:rsidRPr="00EB66AE">
        <w:rPr>
          <w:rFonts w:ascii="Arial" w:hAnsi="Arial" w:cs="Arial"/>
          <w:sz w:val="20"/>
          <w:szCs w:val="20"/>
        </w:rPr>
        <w:t xml:space="preserve"> </w:t>
      </w:r>
    </w:p>
    <w:p w14:paraId="22597D0B" w14:textId="62E64D67" w:rsidR="000F2F0B" w:rsidRPr="00121032" w:rsidRDefault="000F2F0B" w:rsidP="000F2F0B">
      <w:pPr>
        <w:jc w:val="both"/>
        <w:rPr>
          <w:rFonts w:ascii="Arial" w:hAnsi="Arial" w:cs="Arial"/>
          <w:sz w:val="20"/>
          <w:szCs w:val="20"/>
        </w:rPr>
      </w:pPr>
      <w:r w:rsidRPr="00F22649">
        <w:rPr>
          <w:rFonts w:ascii="Arial" w:hAnsi="Arial" w:cs="Arial"/>
          <w:sz w:val="20"/>
          <w:szCs w:val="20"/>
        </w:rPr>
        <w:t>In NTN, the beams form a regular hexagon pattern in the UV plane, but the beam layout on the ground is no longer a regular hexagon pattern, as illustrated in</w:t>
      </w:r>
      <w:r w:rsidR="001E32E5" w:rsidRPr="00F22649">
        <w:rPr>
          <w:rFonts w:ascii="Arial" w:hAnsi="Arial" w:cs="Arial"/>
          <w:sz w:val="20"/>
          <w:szCs w:val="20"/>
        </w:rPr>
        <w:t xml:space="preserve"> </w:t>
      </w:r>
      <w:r w:rsidR="001E32E5" w:rsidRPr="001E32E5">
        <w:rPr>
          <w:rFonts w:ascii="Arial" w:hAnsi="Arial" w:cs="Arial"/>
          <w:sz w:val="20"/>
          <w:szCs w:val="20"/>
        </w:rPr>
        <w:fldChar w:fldCharType="begin"/>
      </w:r>
      <w:r w:rsidR="001E32E5" w:rsidRPr="00C76E89">
        <w:rPr>
          <w:rFonts w:ascii="Arial" w:hAnsi="Arial" w:cs="Arial"/>
          <w:sz w:val="20"/>
          <w:szCs w:val="20"/>
        </w:rPr>
        <w:instrText xml:space="preserve"> REF _Ref16086983 \h  \* MERGEFORMAT </w:instrText>
      </w:r>
      <w:r w:rsidR="001E32E5" w:rsidRPr="001E32E5">
        <w:rPr>
          <w:rFonts w:ascii="Arial" w:hAnsi="Arial" w:cs="Arial"/>
          <w:sz w:val="20"/>
          <w:szCs w:val="20"/>
        </w:rPr>
      </w:r>
      <w:r w:rsidR="001E32E5" w:rsidRPr="001E32E5">
        <w:rPr>
          <w:rFonts w:ascii="Arial" w:hAnsi="Arial" w:cs="Arial"/>
          <w:sz w:val="20"/>
          <w:szCs w:val="20"/>
        </w:rPr>
        <w:fldChar w:fldCharType="separate"/>
      </w:r>
      <w:r w:rsidR="00A34377" w:rsidRPr="00EB66AE">
        <w:rPr>
          <w:rFonts w:ascii="Arial" w:hAnsi="Arial" w:cs="Arial"/>
          <w:sz w:val="20"/>
          <w:szCs w:val="20"/>
        </w:rPr>
        <w:t xml:space="preserve">Figure </w:t>
      </w:r>
      <w:r w:rsidR="00A34377">
        <w:rPr>
          <w:rFonts w:ascii="Arial" w:hAnsi="Arial" w:cs="Arial"/>
          <w:noProof/>
          <w:sz w:val="20"/>
          <w:szCs w:val="20"/>
        </w:rPr>
        <w:t>1</w:t>
      </w:r>
      <w:r w:rsidR="001E32E5" w:rsidRPr="001E32E5">
        <w:rPr>
          <w:rFonts w:ascii="Arial" w:hAnsi="Arial" w:cs="Arial"/>
          <w:sz w:val="20"/>
          <w:szCs w:val="20"/>
        </w:rPr>
        <w:fldChar w:fldCharType="end"/>
      </w:r>
      <w:r w:rsidRPr="00F22649">
        <w:rPr>
          <w:rFonts w:ascii="Arial" w:hAnsi="Arial" w:cs="Arial"/>
          <w:sz w:val="20"/>
          <w:szCs w:val="20"/>
        </w:rPr>
        <w:t>. It becomes unclear what the simulation area of</w:t>
      </w:r>
      <w:r w:rsidR="001E32E5" w:rsidRPr="00F22649">
        <w:rPr>
          <w:rFonts w:ascii="Arial" w:hAnsi="Arial" w:cs="Arial"/>
          <w:sz w:val="20"/>
          <w:szCs w:val="20"/>
        </w:rPr>
        <w:t xml:space="preserve"> the</w:t>
      </w:r>
      <w:r w:rsidRPr="00F22649">
        <w:rPr>
          <w:rFonts w:ascii="Arial" w:hAnsi="Arial" w:cs="Arial"/>
          <w:sz w:val="20"/>
          <w:szCs w:val="20"/>
        </w:rPr>
        <w:t xml:space="preserve"> cell</w:t>
      </w:r>
      <w:r w:rsidR="001E32E5" w:rsidRPr="00F22649">
        <w:rPr>
          <w:rFonts w:ascii="Arial" w:hAnsi="Arial" w:cs="Arial"/>
          <w:sz w:val="20"/>
          <w:szCs w:val="20"/>
        </w:rPr>
        <w:t>s</w:t>
      </w:r>
      <w:r w:rsidRPr="00F22649">
        <w:rPr>
          <w:rFonts w:ascii="Arial" w:hAnsi="Arial" w:cs="Arial"/>
          <w:sz w:val="20"/>
          <w:szCs w:val="20"/>
        </w:rPr>
        <w:t xml:space="preserve"> is in this case. It was agreed that the baseline NTN UE distribution is to have at least X=10 UEs per beam with uniform distribution in all the beams. Then what is the coverage region of </w:t>
      </w:r>
      <w:r w:rsidR="001E32E5" w:rsidRPr="00F22649">
        <w:rPr>
          <w:rFonts w:ascii="Arial" w:hAnsi="Arial" w:cs="Arial"/>
          <w:sz w:val="20"/>
          <w:szCs w:val="20"/>
        </w:rPr>
        <w:t>the</w:t>
      </w:r>
      <w:r w:rsidRPr="00F22649">
        <w:rPr>
          <w:rFonts w:ascii="Arial" w:hAnsi="Arial" w:cs="Arial"/>
          <w:sz w:val="20"/>
          <w:szCs w:val="20"/>
        </w:rPr>
        <w:t xml:space="preserve"> beam</w:t>
      </w:r>
      <w:r w:rsidR="001E32E5" w:rsidRPr="001A0440">
        <w:rPr>
          <w:rFonts w:ascii="Arial" w:hAnsi="Arial" w:cs="Arial"/>
          <w:sz w:val="20"/>
          <w:szCs w:val="20"/>
        </w:rPr>
        <w:t>s</w:t>
      </w:r>
      <w:r w:rsidRPr="001A0440">
        <w:rPr>
          <w:rFonts w:ascii="Arial" w:hAnsi="Arial" w:cs="Arial"/>
          <w:sz w:val="20"/>
          <w:szCs w:val="20"/>
        </w:rPr>
        <w:t xml:space="preserve"> where the corresponding</w:t>
      </w:r>
      <w:r w:rsidR="001E32E5" w:rsidRPr="001A0440">
        <w:rPr>
          <w:rFonts w:ascii="Arial" w:hAnsi="Arial" w:cs="Arial"/>
          <w:sz w:val="20"/>
          <w:szCs w:val="20"/>
        </w:rPr>
        <w:t xml:space="preserve"> </w:t>
      </w:r>
      <w:r w:rsidRPr="001A0440">
        <w:rPr>
          <w:rFonts w:ascii="Arial" w:hAnsi="Arial" w:cs="Arial"/>
          <w:sz w:val="20"/>
          <w:szCs w:val="20"/>
        </w:rPr>
        <w:t>UEs are uniformly distributed?</w:t>
      </w:r>
      <w:r w:rsidR="001E32E5" w:rsidRPr="001A0440">
        <w:rPr>
          <w:rFonts w:ascii="Arial" w:hAnsi="Arial" w:cs="Arial"/>
          <w:sz w:val="20"/>
          <w:szCs w:val="20"/>
        </w:rPr>
        <w:t xml:space="preserve"> In particular, what is the simulation area of a beam in the outermost ring?</w:t>
      </w:r>
    </w:p>
    <w:p w14:paraId="5E1ED44E" w14:textId="6EAC86A2" w:rsidR="000F2F0B" w:rsidRPr="00987A1F" w:rsidRDefault="000F2F0B" w:rsidP="000F2F0B">
      <w:pPr>
        <w:jc w:val="both"/>
        <w:rPr>
          <w:rFonts w:ascii="Arial" w:hAnsi="Arial" w:cs="Arial"/>
          <w:sz w:val="20"/>
          <w:szCs w:val="20"/>
        </w:rPr>
      </w:pPr>
      <w:r w:rsidRPr="00121032">
        <w:rPr>
          <w:rFonts w:ascii="Arial" w:hAnsi="Arial" w:cs="Arial"/>
          <w:sz w:val="20"/>
          <w:szCs w:val="20"/>
        </w:rPr>
        <w:t>RAN1 should agree on a common simulation area.</w:t>
      </w:r>
      <w:r w:rsidR="001E32E5" w:rsidRPr="00121032">
        <w:rPr>
          <w:rFonts w:ascii="Arial" w:hAnsi="Arial" w:cs="Arial"/>
          <w:sz w:val="20"/>
          <w:szCs w:val="20"/>
        </w:rPr>
        <w:t xml:space="preserve"> We propose to use the following method, which resembles the terrestrial hexagon layout, to </w:t>
      </w:r>
      <w:r w:rsidR="001E32E5" w:rsidRPr="0062014D">
        <w:rPr>
          <w:rFonts w:ascii="Arial" w:hAnsi="Arial" w:cs="Arial"/>
          <w:sz w:val="20"/>
          <w:szCs w:val="20"/>
        </w:rPr>
        <w:t>determine simulation area in NTN</w:t>
      </w:r>
    </w:p>
    <w:p w14:paraId="5FEFE5C2" w14:textId="77777777" w:rsidR="001E32E5" w:rsidRPr="001E32E5" w:rsidRDefault="000F2F0B" w:rsidP="000F2F0B">
      <w:pPr>
        <w:pStyle w:val="ListParagraph"/>
        <w:numPr>
          <w:ilvl w:val="0"/>
          <w:numId w:val="29"/>
        </w:numPr>
        <w:jc w:val="both"/>
        <w:rPr>
          <w:rFonts w:ascii="Arial" w:hAnsi="Arial" w:cs="Arial"/>
          <w:sz w:val="20"/>
          <w:szCs w:val="20"/>
        </w:rPr>
      </w:pPr>
      <w:r>
        <w:rPr>
          <w:rFonts w:ascii="Arial" w:hAnsi="Arial" w:cs="Arial"/>
          <w:sz w:val="20"/>
          <w:szCs w:val="20"/>
          <w:lang w:val="en-US"/>
        </w:rPr>
        <w:t xml:space="preserve">The coverage region of each beam is the Voronoi cell determined by the beam centers on the ground. In other words, </w:t>
      </w:r>
      <w:r w:rsidRPr="002869CA">
        <w:rPr>
          <w:rFonts w:ascii="Arial" w:hAnsi="Arial" w:cs="Arial"/>
          <w:sz w:val="20"/>
          <w:szCs w:val="20"/>
          <w:lang w:val="en-US"/>
        </w:rPr>
        <w:t xml:space="preserve">we are given a finite set of points </w:t>
      </w:r>
      <m:oMath>
        <m:r>
          <w:rPr>
            <w:rFonts w:ascii="Cambria Math" w:hAnsi="Cambria Math" w:cs="Arial"/>
            <w:sz w:val="20"/>
            <w:szCs w:val="20"/>
            <w:lang w:val="en-US"/>
          </w:rPr>
          <m:t>{</m:t>
        </m:r>
        <m:sSub>
          <m:sSubPr>
            <m:ctrlPr>
              <w:rPr>
                <w:rFonts w:ascii="Cambria Math" w:hAnsi="Cambria Math" w:cs="Arial"/>
                <w:i/>
                <w:sz w:val="20"/>
                <w:szCs w:val="20"/>
                <w:lang w:val="en-US"/>
              </w:rPr>
            </m:ctrlPr>
          </m:sSubPr>
          <m:e>
            <m:r>
              <w:rPr>
                <w:rFonts w:ascii="Cambria Math" w:hAnsi="Cambria Math" w:cs="Arial"/>
                <w:sz w:val="20"/>
                <w:szCs w:val="20"/>
                <w:lang w:val="en-US"/>
              </w:rPr>
              <m:t>p</m:t>
            </m:r>
          </m:e>
          <m:sub>
            <m:r>
              <w:rPr>
                <w:rFonts w:ascii="Cambria Math" w:hAnsi="Cambria Math" w:cs="Arial"/>
                <w:sz w:val="20"/>
                <w:szCs w:val="20"/>
                <w:lang w:val="en-US"/>
              </w:rPr>
              <m:t>1</m:t>
            </m:r>
          </m:sub>
        </m:sSub>
        <m:r>
          <w:rPr>
            <w:rFonts w:ascii="Cambria Math" w:hAnsi="Cambria Math" w:cs="Arial"/>
            <w:sz w:val="20"/>
            <w:szCs w:val="20"/>
            <w:lang w:val="en-US"/>
          </w:rPr>
          <m:t>, ...,</m:t>
        </m:r>
        <m:sSub>
          <m:sSubPr>
            <m:ctrlPr>
              <w:rPr>
                <w:rFonts w:ascii="Cambria Math" w:hAnsi="Cambria Math" w:cs="Arial"/>
                <w:i/>
                <w:sz w:val="20"/>
                <w:szCs w:val="20"/>
                <w:lang w:val="en-US"/>
              </w:rPr>
            </m:ctrlPr>
          </m:sSubPr>
          <m:e>
            <m:r>
              <w:rPr>
                <w:rFonts w:ascii="Cambria Math" w:hAnsi="Cambria Math" w:cs="Arial"/>
                <w:sz w:val="20"/>
                <w:szCs w:val="20"/>
                <w:lang w:val="en-US"/>
              </w:rPr>
              <m:t>p</m:t>
            </m:r>
          </m:e>
          <m:sub>
            <m:r>
              <w:rPr>
                <w:rFonts w:ascii="Cambria Math" w:hAnsi="Cambria Math" w:cs="Arial"/>
                <w:sz w:val="20"/>
                <w:szCs w:val="20"/>
                <w:lang w:val="en-US"/>
              </w:rPr>
              <m:t>n</m:t>
            </m:r>
          </m:sub>
        </m:sSub>
        <m:r>
          <w:rPr>
            <w:rFonts w:ascii="Cambria Math" w:hAnsi="Cambria Math" w:cs="Arial"/>
            <w:sz w:val="20"/>
            <w:szCs w:val="20"/>
            <w:lang w:val="en-US"/>
          </w:rPr>
          <m:t>}</m:t>
        </m:r>
      </m:oMath>
      <w:r>
        <w:rPr>
          <w:rFonts w:ascii="Arial" w:hAnsi="Arial" w:cs="Arial"/>
          <w:sz w:val="20"/>
          <w:szCs w:val="20"/>
          <w:lang w:val="en-US"/>
        </w:rPr>
        <w:t xml:space="preserve"> where </w:t>
      </w:r>
      <m:oMath>
        <m:sSub>
          <m:sSubPr>
            <m:ctrlPr>
              <w:rPr>
                <w:rFonts w:ascii="Cambria Math" w:hAnsi="Cambria Math" w:cs="Arial"/>
                <w:i/>
                <w:sz w:val="20"/>
                <w:szCs w:val="20"/>
                <w:lang w:val="en-US"/>
              </w:rPr>
            </m:ctrlPr>
          </m:sSubPr>
          <m:e>
            <m:r>
              <w:rPr>
                <w:rFonts w:ascii="Cambria Math" w:hAnsi="Cambria Math" w:cs="Arial"/>
                <w:sz w:val="20"/>
                <w:szCs w:val="20"/>
                <w:lang w:val="en-US"/>
              </w:rPr>
              <m:t>p</m:t>
            </m:r>
          </m:e>
          <m:sub>
            <m:r>
              <w:rPr>
                <w:rFonts w:ascii="Cambria Math" w:hAnsi="Cambria Math" w:cs="Arial"/>
                <w:sz w:val="20"/>
                <w:szCs w:val="20"/>
                <w:lang w:val="en-US"/>
              </w:rPr>
              <m:t>k</m:t>
            </m:r>
          </m:sub>
        </m:sSub>
      </m:oMath>
      <w:r>
        <w:rPr>
          <w:rFonts w:ascii="Arial" w:hAnsi="Arial" w:cs="Arial"/>
          <w:sz w:val="20"/>
          <w:szCs w:val="20"/>
          <w:lang w:val="en-US"/>
        </w:rPr>
        <w:t xml:space="preserve"> denotes the center of the beam </w:t>
      </w:r>
      <m:oMath>
        <m:r>
          <w:rPr>
            <w:rFonts w:ascii="Cambria Math" w:hAnsi="Cambria Math" w:cs="Arial"/>
            <w:sz w:val="20"/>
            <w:szCs w:val="20"/>
            <w:lang w:val="en-US"/>
          </w:rPr>
          <m:t>k</m:t>
        </m:r>
      </m:oMath>
      <w:r>
        <w:rPr>
          <w:rFonts w:ascii="Arial" w:hAnsi="Arial" w:cs="Arial"/>
          <w:sz w:val="20"/>
          <w:szCs w:val="20"/>
          <w:lang w:val="en-US"/>
        </w:rPr>
        <w:t xml:space="preserve">. The </w:t>
      </w:r>
      <w:r w:rsidRPr="002869CA">
        <w:rPr>
          <w:rFonts w:ascii="Arial" w:hAnsi="Arial" w:cs="Arial"/>
          <w:sz w:val="20"/>
          <w:szCs w:val="20"/>
          <w:lang w:val="en-US"/>
        </w:rPr>
        <w:t xml:space="preserve">Voronoi cell </w:t>
      </w:r>
      <m:oMath>
        <m:sSub>
          <m:sSubPr>
            <m:ctrlPr>
              <w:rPr>
                <w:rFonts w:ascii="Cambria Math" w:hAnsi="Cambria Math" w:cs="Arial"/>
                <w:i/>
                <w:sz w:val="20"/>
                <w:szCs w:val="20"/>
                <w:lang w:val="en-US"/>
              </w:rPr>
            </m:ctrlPr>
          </m:sSubPr>
          <m:e>
            <m:r>
              <w:rPr>
                <w:rFonts w:ascii="Cambria Math" w:hAnsi="Cambria Math" w:cs="Arial"/>
                <w:sz w:val="20"/>
                <w:szCs w:val="20"/>
                <w:lang w:val="en-US"/>
              </w:rPr>
              <m:t>R</m:t>
            </m:r>
          </m:e>
          <m:sub>
            <m:r>
              <w:rPr>
                <w:rFonts w:ascii="Cambria Math" w:hAnsi="Cambria Math" w:cs="Arial"/>
                <w:sz w:val="20"/>
                <w:szCs w:val="20"/>
                <w:lang w:val="en-US"/>
              </w:rPr>
              <m:t>k</m:t>
            </m:r>
          </m:sub>
        </m:sSub>
      </m:oMath>
      <w:r w:rsidRPr="002869CA">
        <w:rPr>
          <w:rFonts w:ascii="Arial" w:hAnsi="Arial" w:cs="Arial"/>
          <w:sz w:val="20"/>
          <w:szCs w:val="20"/>
          <w:lang w:val="en-US"/>
        </w:rPr>
        <w:t xml:space="preserve"> consists of every point whose distance to </w:t>
      </w:r>
      <m:oMath>
        <m:sSub>
          <m:sSubPr>
            <m:ctrlPr>
              <w:rPr>
                <w:rFonts w:ascii="Cambria Math" w:hAnsi="Cambria Math" w:cs="Arial"/>
                <w:i/>
                <w:sz w:val="20"/>
                <w:szCs w:val="20"/>
                <w:lang w:val="en-US"/>
              </w:rPr>
            </m:ctrlPr>
          </m:sSubPr>
          <m:e>
            <m:r>
              <w:rPr>
                <w:rFonts w:ascii="Cambria Math" w:hAnsi="Cambria Math" w:cs="Arial"/>
                <w:sz w:val="20"/>
                <w:szCs w:val="20"/>
                <w:lang w:val="en-US"/>
              </w:rPr>
              <m:t>p</m:t>
            </m:r>
          </m:e>
          <m:sub>
            <m:r>
              <w:rPr>
                <w:rFonts w:ascii="Cambria Math" w:hAnsi="Cambria Math" w:cs="Arial"/>
                <w:sz w:val="20"/>
                <w:szCs w:val="20"/>
                <w:lang w:val="en-US"/>
              </w:rPr>
              <m:t>k</m:t>
            </m:r>
          </m:sub>
        </m:sSub>
      </m:oMath>
      <w:r w:rsidRPr="002869CA">
        <w:rPr>
          <w:rFonts w:ascii="Arial" w:hAnsi="Arial" w:cs="Arial"/>
          <w:sz w:val="20"/>
          <w:szCs w:val="20"/>
          <w:lang w:val="en-US"/>
        </w:rPr>
        <w:t xml:space="preserve"> is less than or equal to its distance to any other </w:t>
      </w:r>
      <w:r>
        <w:rPr>
          <w:rFonts w:ascii="Arial" w:hAnsi="Arial" w:cs="Arial"/>
          <w:sz w:val="20"/>
          <w:szCs w:val="20"/>
          <w:lang w:val="en-US"/>
        </w:rPr>
        <w:t>beam centers</w:t>
      </w:r>
      <w:r w:rsidRPr="002869CA">
        <w:rPr>
          <w:rFonts w:ascii="Arial" w:hAnsi="Arial" w:cs="Arial"/>
          <w:sz w:val="20"/>
          <w:szCs w:val="20"/>
          <w:lang w:val="en-US"/>
        </w:rPr>
        <w:t xml:space="preserve">. </w:t>
      </w:r>
      <w:r>
        <w:rPr>
          <w:rFonts w:ascii="Arial" w:hAnsi="Arial" w:cs="Arial"/>
          <w:sz w:val="20"/>
          <w:szCs w:val="20"/>
          <w:lang w:val="en-US"/>
        </w:rPr>
        <w:t>In this case, the simulation area of each cell is a 6-sided polygon.</w:t>
      </w:r>
    </w:p>
    <w:p w14:paraId="3B632039" w14:textId="43995D6C" w:rsidR="000F2F0B" w:rsidRDefault="001E32E5" w:rsidP="00835F34">
      <w:pPr>
        <w:pStyle w:val="ListParagraph"/>
        <w:ind w:left="0"/>
        <w:jc w:val="both"/>
        <w:rPr>
          <w:rFonts w:ascii="Arial" w:hAnsi="Arial" w:cs="Arial"/>
          <w:sz w:val="20"/>
          <w:szCs w:val="20"/>
          <w:lang w:val="en-US"/>
        </w:rPr>
      </w:pPr>
      <w:r w:rsidRPr="001E32E5">
        <w:rPr>
          <w:rFonts w:ascii="Arial" w:hAnsi="Arial" w:cs="Arial"/>
          <w:sz w:val="20"/>
          <w:szCs w:val="20"/>
          <w:lang w:val="en-US"/>
        </w:rPr>
        <w:t xml:space="preserve">For example, the simulation area of 19 beams can be determined as follows. We can generate 37 beams, as </w:t>
      </w:r>
      <w:r w:rsidRPr="001E32E5">
        <w:rPr>
          <w:rFonts w:ascii="Arial" w:hAnsi="Arial" w:cs="Arial"/>
          <w:sz w:val="20"/>
          <w:szCs w:val="20"/>
        </w:rPr>
        <w:t xml:space="preserve">illustrated in </w:t>
      </w:r>
      <w:r w:rsidRPr="001E32E5">
        <w:rPr>
          <w:rFonts w:ascii="Arial" w:hAnsi="Arial" w:cs="Arial"/>
          <w:sz w:val="20"/>
          <w:szCs w:val="20"/>
        </w:rPr>
        <w:fldChar w:fldCharType="begin"/>
      </w:r>
      <w:r w:rsidRPr="001E32E5">
        <w:rPr>
          <w:rFonts w:ascii="Arial" w:hAnsi="Arial" w:cs="Arial"/>
          <w:sz w:val="20"/>
          <w:szCs w:val="20"/>
        </w:rPr>
        <w:instrText xml:space="preserve"> REF _Ref16086983 \h  \* MERGEFORMAT </w:instrText>
      </w:r>
      <w:r w:rsidRPr="001E32E5">
        <w:rPr>
          <w:rFonts w:ascii="Arial" w:hAnsi="Arial" w:cs="Arial"/>
          <w:sz w:val="20"/>
          <w:szCs w:val="20"/>
        </w:rPr>
      </w:r>
      <w:r w:rsidRPr="001E32E5">
        <w:rPr>
          <w:rFonts w:ascii="Arial" w:hAnsi="Arial" w:cs="Arial"/>
          <w:sz w:val="20"/>
          <w:szCs w:val="20"/>
        </w:rPr>
        <w:fldChar w:fldCharType="separate"/>
      </w:r>
      <w:r w:rsidR="00A34377" w:rsidRPr="00EB66AE">
        <w:rPr>
          <w:rFonts w:ascii="Arial" w:hAnsi="Arial" w:cs="Arial"/>
          <w:sz w:val="20"/>
          <w:szCs w:val="20"/>
        </w:rPr>
        <w:t xml:space="preserve">Figure </w:t>
      </w:r>
      <w:r w:rsidR="00A34377">
        <w:rPr>
          <w:rFonts w:ascii="Arial" w:hAnsi="Arial" w:cs="Arial"/>
          <w:noProof/>
          <w:sz w:val="20"/>
          <w:szCs w:val="20"/>
        </w:rPr>
        <w:t>1</w:t>
      </w:r>
      <w:r w:rsidRPr="001E32E5">
        <w:rPr>
          <w:rFonts w:ascii="Arial" w:hAnsi="Arial" w:cs="Arial"/>
          <w:sz w:val="20"/>
          <w:szCs w:val="20"/>
        </w:rPr>
        <w:fldChar w:fldCharType="end"/>
      </w:r>
      <w:r w:rsidRPr="001E32E5">
        <w:rPr>
          <w:rFonts w:ascii="Arial" w:hAnsi="Arial" w:cs="Arial"/>
          <w:sz w:val="20"/>
          <w:szCs w:val="20"/>
        </w:rPr>
        <w:t>.</w:t>
      </w:r>
      <w:r w:rsidRPr="001E32E5">
        <w:rPr>
          <w:rFonts w:ascii="Arial" w:hAnsi="Arial" w:cs="Arial"/>
          <w:sz w:val="20"/>
          <w:szCs w:val="20"/>
          <w:lang w:val="en-US"/>
        </w:rPr>
        <w:t xml:space="preserve"> The Voronoi cell</w:t>
      </w:r>
      <w:r>
        <w:rPr>
          <w:rFonts w:ascii="Arial" w:hAnsi="Arial" w:cs="Arial"/>
          <w:sz w:val="20"/>
          <w:szCs w:val="20"/>
          <w:lang w:val="en-US"/>
        </w:rPr>
        <w:t xml:space="preserve"> of beam </w:t>
      </w:r>
      <m:oMath>
        <m:r>
          <w:rPr>
            <w:rFonts w:ascii="Cambria Math" w:hAnsi="Cambria Math" w:cs="Arial"/>
            <w:sz w:val="20"/>
            <w:szCs w:val="20"/>
            <w:lang w:val="en-US"/>
          </w:rPr>
          <m:t>k</m:t>
        </m:r>
      </m:oMath>
      <w:r w:rsidRPr="001E32E5">
        <w:rPr>
          <w:rFonts w:ascii="Arial" w:hAnsi="Arial" w:cs="Arial"/>
          <w:sz w:val="20"/>
          <w:szCs w:val="20"/>
          <w:lang w:val="en-US"/>
        </w:rPr>
        <w:t xml:space="preserve"> consists of every point whose distance to </w:t>
      </w:r>
      <w:r w:rsidR="00E5089C">
        <w:rPr>
          <w:rFonts w:ascii="Arial" w:hAnsi="Arial" w:cs="Arial"/>
          <w:sz w:val="20"/>
          <w:szCs w:val="20"/>
          <w:lang w:val="en-US"/>
        </w:rPr>
        <w:t xml:space="preserve">the center of beam </w:t>
      </w:r>
      <m:oMath>
        <m:r>
          <w:rPr>
            <w:rFonts w:ascii="Cambria Math" w:hAnsi="Cambria Math" w:cs="Arial"/>
            <w:sz w:val="20"/>
            <w:szCs w:val="20"/>
            <w:lang w:val="en-US"/>
          </w:rPr>
          <m:t>k</m:t>
        </m:r>
      </m:oMath>
      <w:r w:rsidRPr="001E32E5">
        <w:rPr>
          <w:rFonts w:ascii="Arial" w:hAnsi="Arial" w:cs="Arial"/>
          <w:sz w:val="20"/>
          <w:szCs w:val="20"/>
          <w:lang w:val="en-US"/>
        </w:rPr>
        <w:t xml:space="preserve"> is less than or equal to its distance to any other beam centers. </w:t>
      </w:r>
      <w:r w:rsidR="00E5089C">
        <w:rPr>
          <w:rFonts w:ascii="Arial" w:hAnsi="Arial" w:cs="Arial"/>
          <w:sz w:val="20"/>
          <w:szCs w:val="20"/>
          <w:lang w:val="en-US"/>
        </w:rPr>
        <w:t xml:space="preserve">The outermost beams (marked in red </w:t>
      </w:r>
      <w:r w:rsidR="00E5089C" w:rsidRPr="001E32E5">
        <w:rPr>
          <w:rFonts w:ascii="Arial" w:hAnsi="Arial" w:cs="Arial"/>
          <w:sz w:val="20"/>
          <w:szCs w:val="20"/>
        </w:rPr>
        <w:t xml:space="preserve">in </w:t>
      </w:r>
      <w:r w:rsidR="00E5089C" w:rsidRPr="001E32E5">
        <w:rPr>
          <w:rFonts w:ascii="Arial" w:hAnsi="Arial" w:cs="Arial"/>
          <w:sz w:val="20"/>
          <w:szCs w:val="20"/>
        </w:rPr>
        <w:fldChar w:fldCharType="begin"/>
      </w:r>
      <w:r w:rsidR="00E5089C" w:rsidRPr="001E32E5">
        <w:rPr>
          <w:rFonts w:ascii="Arial" w:hAnsi="Arial" w:cs="Arial"/>
          <w:sz w:val="20"/>
          <w:szCs w:val="20"/>
        </w:rPr>
        <w:instrText xml:space="preserve"> REF _Ref16086983 \h  \* MERGEFORMAT </w:instrText>
      </w:r>
      <w:r w:rsidR="00E5089C" w:rsidRPr="001E32E5">
        <w:rPr>
          <w:rFonts w:ascii="Arial" w:hAnsi="Arial" w:cs="Arial"/>
          <w:sz w:val="20"/>
          <w:szCs w:val="20"/>
        </w:rPr>
      </w:r>
      <w:r w:rsidR="00E5089C" w:rsidRPr="001E32E5">
        <w:rPr>
          <w:rFonts w:ascii="Arial" w:hAnsi="Arial" w:cs="Arial"/>
          <w:sz w:val="20"/>
          <w:szCs w:val="20"/>
        </w:rPr>
        <w:fldChar w:fldCharType="separate"/>
      </w:r>
      <w:r w:rsidR="00A34377" w:rsidRPr="00EB66AE">
        <w:rPr>
          <w:rFonts w:ascii="Arial" w:hAnsi="Arial" w:cs="Arial"/>
          <w:sz w:val="20"/>
          <w:szCs w:val="20"/>
        </w:rPr>
        <w:t xml:space="preserve">Figure </w:t>
      </w:r>
      <w:r w:rsidR="00A34377">
        <w:rPr>
          <w:rFonts w:ascii="Arial" w:hAnsi="Arial" w:cs="Arial"/>
          <w:noProof/>
          <w:sz w:val="20"/>
          <w:szCs w:val="20"/>
        </w:rPr>
        <w:t>1</w:t>
      </w:r>
      <w:r w:rsidR="00E5089C" w:rsidRPr="001E32E5">
        <w:rPr>
          <w:rFonts w:ascii="Arial" w:hAnsi="Arial" w:cs="Arial"/>
          <w:sz w:val="20"/>
          <w:szCs w:val="20"/>
        </w:rPr>
        <w:fldChar w:fldCharType="end"/>
      </w:r>
      <w:r w:rsidR="00E5089C">
        <w:rPr>
          <w:rFonts w:ascii="Arial" w:hAnsi="Arial" w:cs="Arial"/>
          <w:sz w:val="20"/>
          <w:szCs w:val="20"/>
          <w:lang w:val="en-US"/>
        </w:rPr>
        <w:t>) are only used for determining the simulation area, and they are not needed for actual simulation.</w:t>
      </w:r>
    </w:p>
    <w:p w14:paraId="7B01CE4E" w14:textId="7E778351" w:rsidR="00EA45E5" w:rsidRPr="00EB66AE" w:rsidRDefault="00EA45E5" w:rsidP="00835F34">
      <w:pPr>
        <w:pStyle w:val="ListParagraph"/>
        <w:ind w:left="0"/>
        <w:jc w:val="both"/>
        <w:rPr>
          <w:rFonts w:ascii="Arial" w:hAnsi="Arial" w:cs="Arial"/>
          <w:sz w:val="20"/>
          <w:szCs w:val="20"/>
        </w:rPr>
      </w:pPr>
      <w:r w:rsidRPr="00EA45E5">
        <w:rPr>
          <w:rFonts w:ascii="Arial" w:hAnsi="Arial" w:cs="Arial"/>
          <w:sz w:val="20"/>
          <w:szCs w:val="20"/>
          <w:lang w:val="en-US"/>
        </w:rPr>
        <w:t xml:space="preserve">An illustration of the proposed definition of simulation area is given in </w:t>
      </w:r>
      <w:r w:rsidRPr="00EA45E5">
        <w:rPr>
          <w:rFonts w:ascii="Arial" w:hAnsi="Arial" w:cs="Arial"/>
          <w:sz w:val="20"/>
          <w:szCs w:val="20"/>
          <w:lang w:val="en-US"/>
        </w:rPr>
        <w:fldChar w:fldCharType="begin"/>
      </w:r>
      <w:r w:rsidRPr="00EA45E5">
        <w:rPr>
          <w:rFonts w:ascii="Arial" w:hAnsi="Arial" w:cs="Arial"/>
          <w:sz w:val="20"/>
          <w:szCs w:val="20"/>
          <w:lang w:val="en-US"/>
        </w:rPr>
        <w:instrText xml:space="preserve"> REF _Ref16686255 \h  \* MERGEFORMAT </w:instrText>
      </w:r>
      <w:r w:rsidRPr="00EA45E5">
        <w:rPr>
          <w:rFonts w:ascii="Arial" w:hAnsi="Arial" w:cs="Arial"/>
          <w:sz w:val="20"/>
          <w:szCs w:val="20"/>
          <w:lang w:val="en-US"/>
        </w:rPr>
      </w:r>
      <w:r w:rsidRPr="00EA45E5">
        <w:rPr>
          <w:rFonts w:ascii="Arial" w:hAnsi="Arial" w:cs="Arial"/>
          <w:sz w:val="20"/>
          <w:szCs w:val="20"/>
          <w:lang w:val="en-US"/>
        </w:rPr>
        <w:fldChar w:fldCharType="separate"/>
      </w:r>
      <w:r w:rsidR="00A34377" w:rsidRPr="00A34377">
        <w:rPr>
          <w:rFonts w:ascii="Arial" w:hAnsi="Arial" w:cs="Arial"/>
          <w:sz w:val="20"/>
          <w:szCs w:val="20"/>
        </w:rPr>
        <w:t xml:space="preserve">Figure </w:t>
      </w:r>
      <w:r w:rsidR="00A34377" w:rsidRPr="00A34377">
        <w:rPr>
          <w:rFonts w:ascii="Arial" w:hAnsi="Arial" w:cs="Arial"/>
          <w:noProof/>
          <w:sz w:val="20"/>
          <w:szCs w:val="20"/>
        </w:rPr>
        <w:t>3</w:t>
      </w:r>
      <w:r w:rsidRPr="00EA45E5">
        <w:rPr>
          <w:rFonts w:ascii="Arial" w:hAnsi="Arial" w:cs="Arial"/>
          <w:sz w:val="20"/>
          <w:szCs w:val="20"/>
          <w:lang w:val="en-US"/>
        </w:rPr>
        <w:fldChar w:fldCharType="end"/>
      </w:r>
      <w:r w:rsidR="00CB382F">
        <w:rPr>
          <w:rFonts w:ascii="Arial" w:hAnsi="Arial" w:cs="Arial"/>
          <w:sz w:val="20"/>
          <w:szCs w:val="20"/>
          <w:lang w:val="en-US"/>
        </w:rPr>
        <w:t xml:space="preserve"> in Section </w:t>
      </w:r>
      <w:r w:rsidR="00CB382F">
        <w:rPr>
          <w:rFonts w:ascii="Arial" w:hAnsi="Arial" w:cs="Arial"/>
          <w:sz w:val="20"/>
          <w:szCs w:val="20"/>
          <w:lang w:val="en-US"/>
        </w:rPr>
        <w:fldChar w:fldCharType="begin"/>
      </w:r>
      <w:r w:rsidR="00CB382F">
        <w:rPr>
          <w:rFonts w:ascii="Arial" w:hAnsi="Arial" w:cs="Arial"/>
          <w:sz w:val="20"/>
          <w:szCs w:val="20"/>
          <w:lang w:val="en-US"/>
        </w:rPr>
        <w:instrText xml:space="preserve"> REF _Ref16838972 \r \h </w:instrText>
      </w:r>
      <w:r w:rsidR="00CB382F">
        <w:rPr>
          <w:rFonts w:ascii="Arial" w:hAnsi="Arial" w:cs="Arial"/>
          <w:sz w:val="20"/>
          <w:szCs w:val="20"/>
          <w:lang w:val="en-US"/>
        </w:rPr>
      </w:r>
      <w:r w:rsidR="00CB382F">
        <w:rPr>
          <w:rFonts w:ascii="Arial" w:hAnsi="Arial" w:cs="Arial"/>
          <w:sz w:val="20"/>
          <w:szCs w:val="20"/>
          <w:lang w:val="en-US"/>
        </w:rPr>
        <w:fldChar w:fldCharType="separate"/>
      </w:r>
      <w:r w:rsidR="00A34377">
        <w:rPr>
          <w:rFonts w:ascii="Arial" w:hAnsi="Arial" w:cs="Arial"/>
          <w:sz w:val="20"/>
          <w:szCs w:val="20"/>
          <w:lang w:val="en-US"/>
        </w:rPr>
        <w:t>4</w:t>
      </w:r>
      <w:r w:rsidR="00CB382F">
        <w:rPr>
          <w:rFonts w:ascii="Arial" w:hAnsi="Arial" w:cs="Arial"/>
          <w:sz w:val="20"/>
          <w:szCs w:val="20"/>
          <w:lang w:val="en-US"/>
        </w:rPr>
        <w:fldChar w:fldCharType="end"/>
      </w:r>
      <w:r w:rsidRPr="00EA45E5">
        <w:rPr>
          <w:rFonts w:ascii="Arial" w:hAnsi="Arial" w:cs="Arial"/>
          <w:sz w:val="20"/>
          <w:szCs w:val="20"/>
          <w:lang w:val="en-US"/>
        </w:rPr>
        <w:t>.</w:t>
      </w:r>
    </w:p>
    <w:p w14:paraId="637F984D" w14:textId="640B6A57" w:rsidR="000F2F0B" w:rsidRPr="00F22649" w:rsidRDefault="000F2F0B" w:rsidP="000F2F0B">
      <w:pPr>
        <w:pStyle w:val="Proposal"/>
        <w:rPr>
          <w:sz w:val="20"/>
          <w:szCs w:val="20"/>
        </w:rPr>
      </w:pPr>
      <w:bookmarkStart w:id="16" w:name="_Toc16839633"/>
      <w:r w:rsidRPr="00F22649">
        <w:rPr>
          <w:sz w:val="20"/>
          <w:szCs w:val="20"/>
        </w:rPr>
        <w:t xml:space="preserve">The simulation area of each beam is </w:t>
      </w:r>
      <w:r w:rsidR="00E5089C" w:rsidRPr="00F22649">
        <w:rPr>
          <w:sz w:val="20"/>
          <w:szCs w:val="20"/>
        </w:rPr>
        <w:t>the Voronoi cell associated with the corresponding beam center</w:t>
      </w:r>
      <w:r w:rsidRPr="00F22649">
        <w:rPr>
          <w:sz w:val="20"/>
          <w:szCs w:val="20"/>
        </w:rPr>
        <w:t>.</w:t>
      </w:r>
      <w:bookmarkEnd w:id="16"/>
    </w:p>
    <w:p w14:paraId="23A6AA5D" w14:textId="1820EBA7" w:rsidR="00E95496" w:rsidRDefault="00E95496" w:rsidP="00E95496">
      <w:pPr>
        <w:pStyle w:val="Heading2"/>
      </w:pPr>
      <w:r>
        <w:t>2.</w:t>
      </w:r>
      <w:r w:rsidR="00926E1E">
        <w:t>8</w:t>
      </w:r>
      <w:r>
        <w:tab/>
      </w:r>
      <w:r w:rsidR="000F2F0B">
        <w:t>Number of UEs in NTN system level simulation</w:t>
      </w:r>
    </w:p>
    <w:p w14:paraId="1B8DBC29" w14:textId="057041E1" w:rsidR="000F2F0B" w:rsidRPr="00F22649" w:rsidRDefault="000F2F0B" w:rsidP="000F2F0B">
      <w:pPr>
        <w:jc w:val="both"/>
        <w:rPr>
          <w:rFonts w:ascii="Arial" w:hAnsi="Arial" w:cs="Arial"/>
          <w:sz w:val="20"/>
          <w:szCs w:val="20"/>
        </w:rPr>
      </w:pPr>
      <w:r w:rsidRPr="00F22649">
        <w:rPr>
          <w:rFonts w:ascii="Arial" w:hAnsi="Arial" w:cs="Arial"/>
          <w:sz w:val="20"/>
          <w:szCs w:val="20"/>
        </w:rPr>
        <w:t xml:space="preserve">In system level simulation for a homogeneous network where cells are of the same size, it is often assumed the traffic is uniform on the ground. In particular,10 UEs per cell are often assumed in 3GPP for evaluation of a homogeneous </w:t>
      </w:r>
      <w:r w:rsidR="001C3C02">
        <w:rPr>
          <w:rFonts w:ascii="Arial" w:hAnsi="Arial" w:cs="Arial"/>
          <w:sz w:val="20"/>
          <w:szCs w:val="20"/>
        </w:rPr>
        <w:t xml:space="preserve">terrestrial </w:t>
      </w:r>
      <w:r w:rsidRPr="00F22649">
        <w:rPr>
          <w:rFonts w:ascii="Arial" w:hAnsi="Arial" w:cs="Arial"/>
          <w:sz w:val="20"/>
          <w:szCs w:val="20"/>
        </w:rPr>
        <w:t xml:space="preserve">network with 19 sites/57 cells. </w:t>
      </w:r>
    </w:p>
    <w:p w14:paraId="0D810321" w14:textId="1D224377" w:rsidR="000F2F0B" w:rsidRPr="00121032" w:rsidRDefault="000F2F0B" w:rsidP="000F2F0B">
      <w:pPr>
        <w:jc w:val="both"/>
        <w:rPr>
          <w:rFonts w:ascii="Arial" w:hAnsi="Arial" w:cs="Arial"/>
          <w:sz w:val="20"/>
          <w:szCs w:val="20"/>
        </w:rPr>
      </w:pPr>
      <w:r w:rsidRPr="00F22649">
        <w:rPr>
          <w:rFonts w:ascii="Arial" w:hAnsi="Arial" w:cs="Arial"/>
          <w:sz w:val="20"/>
          <w:szCs w:val="20"/>
        </w:rPr>
        <w:t>In system level simulation for an NTN network with the agreed UV plane methodology, cells are of different sizes. In particular, the sizes of cells corresponding to the beams in the outer rings are considerably larger than the sizes of cells corresponding to the beams in the</w:t>
      </w:r>
      <w:r w:rsidRPr="001A0440">
        <w:rPr>
          <w:rFonts w:ascii="Arial" w:hAnsi="Arial" w:cs="Arial"/>
          <w:sz w:val="20"/>
          <w:szCs w:val="20"/>
        </w:rPr>
        <w:t xml:space="preserve"> inner rings. </w:t>
      </w:r>
      <w:r w:rsidR="008E7E02" w:rsidRPr="001A0440">
        <w:rPr>
          <w:rFonts w:ascii="Arial" w:hAnsi="Arial" w:cs="Arial"/>
          <w:sz w:val="20"/>
          <w:szCs w:val="20"/>
        </w:rPr>
        <w:t>If 10 fixed UEs were to be assumed per beam, the traffic would become uneven on the ground. This setup would be a bit strange. Instead, a more reasonable approach would be to generate 10*N UEs uniformly distributed in the simulation area, where N is the number of beams. This approach would lead to uniform traffic on the ground, as in the case of a homogeneous terrestrial network.</w:t>
      </w:r>
    </w:p>
    <w:p w14:paraId="5E69C8F6" w14:textId="2A2A010B" w:rsidR="004C5CDE" w:rsidRPr="00987A1F" w:rsidRDefault="008E7E02" w:rsidP="004C5CDE">
      <w:pPr>
        <w:pStyle w:val="Proposal"/>
        <w:rPr>
          <w:sz w:val="20"/>
          <w:szCs w:val="20"/>
        </w:rPr>
      </w:pPr>
      <w:bookmarkStart w:id="17" w:name="_Toc16839634"/>
      <w:r w:rsidRPr="00121032">
        <w:rPr>
          <w:sz w:val="20"/>
          <w:szCs w:val="20"/>
        </w:rPr>
        <w:t>In NTN system level simulation, a total of X*N UEs are uniformly distributed in t</w:t>
      </w:r>
      <w:r w:rsidR="004C5CDE" w:rsidRPr="00121032">
        <w:rPr>
          <w:sz w:val="20"/>
          <w:szCs w:val="20"/>
        </w:rPr>
        <w:t>he simulation are</w:t>
      </w:r>
      <w:r w:rsidRPr="0062014D">
        <w:rPr>
          <w:sz w:val="20"/>
          <w:szCs w:val="20"/>
        </w:rPr>
        <w:t>a, where</w:t>
      </w:r>
      <w:r w:rsidRPr="00987A1F">
        <w:rPr>
          <w:sz w:val="20"/>
          <w:szCs w:val="20"/>
        </w:rPr>
        <w:t xml:space="preserve"> X is the average number of UEs per beam and N is the number of beams</w:t>
      </w:r>
      <w:r w:rsidR="004C5CDE" w:rsidRPr="00987A1F">
        <w:rPr>
          <w:sz w:val="20"/>
          <w:szCs w:val="20"/>
        </w:rPr>
        <w:t>.</w:t>
      </w:r>
      <w:bookmarkEnd w:id="17"/>
    </w:p>
    <w:p w14:paraId="01514A26" w14:textId="031A6908" w:rsidR="00963FFC" w:rsidRPr="00963FFC" w:rsidRDefault="002214D6" w:rsidP="00963FFC">
      <w:pPr>
        <w:pStyle w:val="Heading1"/>
        <w:numPr>
          <w:ilvl w:val="0"/>
          <w:numId w:val="15"/>
        </w:numPr>
      </w:pPr>
      <w:r>
        <w:t>Link budget</w:t>
      </w:r>
      <w:r w:rsidR="005262DC">
        <w:t xml:space="preserve"> calculation</w:t>
      </w:r>
    </w:p>
    <w:p w14:paraId="3342BC97" w14:textId="5370E705" w:rsidR="00963FFC" w:rsidRDefault="00963FFC" w:rsidP="00963FFC">
      <w:pPr>
        <w:pStyle w:val="Heading2"/>
      </w:pPr>
      <w:r>
        <w:t>3.1</w:t>
      </w:r>
      <w:r>
        <w:tab/>
        <w:t>GEO</w:t>
      </w:r>
      <w:r w:rsidR="0004603E">
        <w:t>: Noise only</w:t>
      </w:r>
    </w:p>
    <w:p w14:paraId="176A9523" w14:textId="4DDFC51C" w:rsidR="0056742D" w:rsidRDefault="005262DC" w:rsidP="00963FFC">
      <w:pPr>
        <w:rPr>
          <w:rFonts w:ascii="Arial" w:hAnsi="Arial"/>
          <w:sz w:val="20"/>
          <w:szCs w:val="20"/>
        </w:rPr>
      </w:pPr>
      <w:r w:rsidRPr="00F22649">
        <w:rPr>
          <w:rFonts w:ascii="Arial" w:hAnsi="Arial"/>
          <w:sz w:val="20"/>
          <w:szCs w:val="20"/>
        </w:rPr>
        <w:t>Based on agreed RAN1 evaluation assumptions, we carry out link budget calculation for GEO</w:t>
      </w:r>
      <w:r w:rsidR="008228B7" w:rsidRPr="00F22649">
        <w:rPr>
          <w:rFonts w:ascii="Arial" w:hAnsi="Arial"/>
          <w:sz w:val="20"/>
          <w:szCs w:val="20"/>
        </w:rPr>
        <w:t xml:space="preserve"> for 10 degrees elevation angle</w:t>
      </w:r>
      <w:r w:rsidRPr="00F22649">
        <w:rPr>
          <w:rFonts w:ascii="Arial" w:hAnsi="Arial"/>
          <w:sz w:val="20"/>
          <w:szCs w:val="20"/>
        </w:rPr>
        <w:t xml:space="preserve">, as given in </w:t>
      </w:r>
      <w:r>
        <w:rPr>
          <w:rFonts w:ascii="Arial" w:hAnsi="Arial"/>
          <w:sz w:val="20"/>
          <w:szCs w:val="20"/>
        </w:rPr>
        <w:fldChar w:fldCharType="begin"/>
      </w:r>
      <w:r w:rsidRPr="00C76E89">
        <w:rPr>
          <w:rFonts w:ascii="Arial" w:hAnsi="Arial"/>
          <w:sz w:val="20"/>
          <w:szCs w:val="20"/>
        </w:rPr>
        <w:instrText xml:space="preserve"> REF _Ref14163961 \h </w:instrText>
      </w:r>
      <w:r>
        <w:rPr>
          <w:rFonts w:ascii="Arial" w:hAnsi="Arial"/>
          <w:sz w:val="20"/>
          <w:szCs w:val="20"/>
        </w:rPr>
      </w:r>
      <w:r>
        <w:rPr>
          <w:rFonts w:ascii="Arial" w:hAnsi="Arial"/>
          <w:sz w:val="20"/>
          <w:szCs w:val="20"/>
        </w:rPr>
        <w:fldChar w:fldCharType="separate"/>
      </w:r>
      <w:r w:rsidR="00A34377" w:rsidRPr="00EB66AE">
        <w:rPr>
          <w:rFonts w:ascii="Arial" w:hAnsi="Arial" w:cs="Arial"/>
          <w:sz w:val="20"/>
        </w:rPr>
        <w:t xml:space="preserve">Table </w:t>
      </w:r>
      <w:r w:rsidR="00A34377">
        <w:rPr>
          <w:rFonts w:ascii="Arial" w:hAnsi="Arial" w:cs="Arial"/>
          <w:noProof/>
          <w:sz w:val="20"/>
        </w:rPr>
        <w:t>1</w:t>
      </w:r>
      <w:r>
        <w:rPr>
          <w:rFonts w:ascii="Arial" w:hAnsi="Arial"/>
          <w:sz w:val="20"/>
          <w:szCs w:val="20"/>
        </w:rPr>
        <w:fldChar w:fldCharType="end"/>
      </w:r>
      <w:r w:rsidRPr="00F22649">
        <w:rPr>
          <w:rFonts w:ascii="Arial" w:hAnsi="Arial"/>
          <w:sz w:val="20"/>
          <w:szCs w:val="20"/>
        </w:rPr>
        <w:t>.</w:t>
      </w:r>
      <w:r w:rsidR="0056742D" w:rsidRPr="00F22649">
        <w:rPr>
          <w:rFonts w:ascii="Arial" w:hAnsi="Arial"/>
          <w:sz w:val="20"/>
          <w:szCs w:val="20"/>
        </w:rPr>
        <w:t xml:space="preserve"> It is assumed that handheld UE transmits with 180 kHz bandwidth in S band and VSAT transmits with 400 MHz bandwidth in Ka band. </w:t>
      </w:r>
      <w:r w:rsidR="0056742D">
        <w:rPr>
          <w:rFonts w:ascii="Arial" w:hAnsi="Arial"/>
          <w:sz w:val="20"/>
          <w:szCs w:val="20"/>
        </w:rPr>
        <w:t>We make the following observation</w:t>
      </w:r>
      <w:r w:rsidR="00322185">
        <w:rPr>
          <w:rFonts w:ascii="Arial" w:hAnsi="Arial"/>
          <w:sz w:val="20"/>
          <w:szCs w:val="20"/>
        </w:rPr>
        <w:t>s</w:t>
      </w:r>
      <w:r w:rsidR="0056742D">
        <w:rPr>
          <w:rFonts w:ascii="Arial" w:hAnsi="Arial"/>
          <w:sz w:val="20"/>
          <w:szCs w:val="20"/>
        </w:rPr>
        <w:t>:</w:t>
      </w:r>
    </w:p>
    <w:p w14:paraId="023D5495" w14:textId="5EF58B2C" w:rsidR="0056742D" w:rsidRPr="00F22649" w:rsidRDefault="0056742D" w:rsidP="0056742D">
      <w:pPr>
        <w:pStyle w:val="Observation"/>
        <w:overflowPunct w:val="0"/>
        <w:autoSpaceDE w:val="0"/>
        <w:autoSpaceDN w:val="0"/>
        <w:adjustRightInd w:val="0"/>
        <w:spacing w:line="240" w:lineRule="auto"/>
        <w:textAlignment w:val="baseline"/>
        <w:rPr>
          <w:sz w:val="20"/>
          <w:szCs w:val="20"/>
        </w:rPr>
      </w:pPr>
      <w:bookmarkStart w:id="18" w:name="_Toc16839616"/>
      <w:r w:rsidRPr="00F22649">
        <w:rPr>
          <w:sz w:val="20"/>
          <w:szCs w:val="20"/>
        </w:rPr>
        <w:t>In S-band GEO, uplink operating SNR is low (-5.</w:t>
      </w:r>
      <w:r w:rsidR="00BA4A1E" w:rsidRPr="00F22649">
        <w:rPr>
          <w:sz w:val="20"/>
          <w:szCs w:val="20"/>
        </w:rPr>
        <w:t xml:space="preserve">8 </w:t>
      </w:r>
      <w:r w:rsidRPr="00F22649">
        <w:rPr>
          <w:sz w:val="20"/>
          <w:szCs w:val="20"/>
        </w:rPr>
        <w:t xml:space="preserve">dB) for handheld UE with 180 kHz transmission bandwidth. </w:t>
      </w:r>
      <w:r w:rsidR="00F9503D" w:rsidRPr="00F22649">
        <w:rPr>
          <w:sz w:val="20"/>
          <w:szCs w:val="20"/>
        </w:rPr>
        <w:t>In Ka-band GEO, uplink operating SNR is acceptable (</w:t>
      </w:r>
      <w:r w:rsidR="00BA4A1E" w:rsidRPr="001A0440">
        <w:rPr>
          <w:sz w:val="20"/>
          <w:szCs w:val="20"/>
        </w:rPr>
        <w:t>1.4</w:t>
      </w:r>
      <w:r w:rsidR="00F9503D" w:rsidRPr="001A0440">
        <w:rPr>
          <w:sz w:val="20"/>
          <w:szCs w:val="20"/>
        </w:rPr>
        <w:t xml:space="preserve"> dB) for VSAT with 400 MHz transmission bandwidth.</w:t>
      </w:r>
      <w:bookmarkEnd w:id="18"/>
    </w:p>
    <w:p w14:paraId="5BC72758" w14:textId="0CE8FA6B" w:rsidR="0056742D" w:rsidRPr="001A0440" w:rsidRDefault="00F9503D" w:rsidP="00963FFC">
      <w:pPr>
        <w:pStyle w:val="Observation"/>
        <w:overflowPunct w:val="0"/>
        <w:autoSpaceDE w:val="0"/>
        <w:autoSpaceDN w:val="0"/>
        <w:adjustRightInd w:val="0"/>
        <w:spacing w:line="240" w:lineRule="auto"/>
        <w:textAlignment w:val="baseline"/>
        <w:rPr>
          <w:sz w:val="20"/>
          <w:szCs w:val="20"/>
        </w:rPr>
      </w:pPr>
      <w:bookmarkStart w:id="19" w:name="_Toc16839617"/>
      <w:r w:rsidRPr="00F22649">
        <w:rPr>
          <w:sz w:val="20"/>
          <w:szCs w:val="20"/>
        </w:rPr>
        <w:t xml:space="preserve">In GEO, downlink operating SNR in Ka-band is </w:t>
      </w:r>
      <w:r w:rsidR="00BA4A1E" w:rsidRPr="00F22649">
        <w:rPr>
          <w:sz w:val="20"/>
          <w:szCs w:val="20"/>
        </w:rPr>
        <w:t>10.2</w:t>
      </w:r>
      <w:r w:rsidRPr="00F22649">
        <w:rPr>
          <w:sz w:val="20"/>
          <w:szCs w:val="20"/>
        </w:rPr>
        <w:t xml:space="preserve"> dB higher than its counterpart in S-band. This is mainly because that VSAT in Ka-band has a much higher G/T than handheld UE in S-band.</w:t>
      </w:r>
      <w:bookmarkEnd w:id="19"/>
    </w:p>
    <w:p w14:paraId="17D0D7F3" w14:textId="77777777" w:rsidR="006422FF" w:rsidRPr="001A0440" w:rsidRDefault="006422FF" w:rsidP="006422FF">
      <w:pPr>
        <w:pStyle w:val="Observation"/>
        <w:numPr>
          <w:ilvl w:val="0"/>
          <w:numId w:val="0"/>
        </w:numPr>
        <w:overflowPunct w:val="0"/>
        <w:autoSpaceDE w:val="0"/>
        <w:autoSpaceDN w:val="0"/>
        <w:adjustRightInd w:val="0"/>
        <w:spacing w:line="240" w:lineRule="auto"/>
        <w:ind w:left="1701"/>
        <w:textAlignment w:val="baseline"/>
        <w:rPr>
          <w:sz w:val="20"/>
          <w:szCs w:val="20"/>
        </w:rPr>
      </w:pPr>
    </w:p>
    <w:tbl>
      <w:tblPr>
        <w:tblW w:w="8120" w:type="dxa"/>
        <w:jc w:val="center"/>
        <w:tblLook w:val="04A0" w:firstRow="1" w:lastRow="0" w:firstColumn="1" w:lastColumn="0" w:noHBand="0" w:noVBand="1"/>
      </w:tblPr>
      <w:tblGrid>
        <w:gridCol w:w="3620"/>
        <w:gridCol w:w="1280"/>
        <w:gridCol w:w="1300"/>
        <w:gridCol w:w="957"/>
        <w:gridCol w:w="963"/>
      </w:tblGrid>
      <w:tr w:rsidR="00FA6973" w:rsidRPr="00D561B2" w14:paraId="369BA80D" w14:textId="77777777" w:rsidTr="00815161">
        <w:trPr>
          <w:trHeight w:val="288"/>
          <w:jc w:val="center"/>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12335" w14:textId="5387A853" w:rsidR="00FA6973" w:rsidRPr="00D561B2" w:rsidRDefault="00FA6973" w:rsidP="00D561B2">
            <w:pPr>
              <w:spacing w:after="0" w:line="240" w:lineRule="auto"/>
              <w:jc w:val="center"/>
              <w:rPr>
                <w:rFonts w:ascii="Calibri" w:eastAsia="Times New Roman" w:hAnsi="Calibri" w:cs="Calibri"/>
                <w:color w:val="000000"/>
              </w:rPr>
            </w:pPr>
            <w:r w:rsidRPr="00D561B2">
              <w:rPr>
                <w:rFonts w:ascii="Calibri" w:eastAsia="Times New Roman" w:hAnsi="Calibri" w:cs="Calibri"/>
                <w:b/>
                <w:bCs/>
                <w:color w:val="000000"/>
              </w:rPr>
              <w:t>LINK BUDGET</w:t>
            </w:r>
          </w:p>
        </w:tc>
        <w:tc>
          <w:tcPr>
            <w:tcW w:w="2580" w:type="dxa"/>
            <w:gridSpan w:val="2"/>
            <w:tcBorders>
              <w:top w:val="single" w:sz="4" w:space="0" w:color="auto"/>
              <w:left w:val="nil"/>
              <w:bottom w:val="single" w:sz="4" w:space="0" w:color="auto"/>
              <w:right w:val="single" w:sz="4" w:space="0" w:color="auto"/>
            </w:tcBorders>
            <w:shd w:val="clear" w:color="000000" w:fill="FCE4D6"/>
            <w:noWrap/>
            <w:vAlign w:val="center"/>
          </w:tcPr>
          <w:p w14:paraId="4F11A9D5" w14:textId="58AA0026" w:rsidR="00FA6973" w:rsidRPr="00D561B2" w:rsidRDefault="00FA6973" w:rsidP="00D561B2">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GEO: S-band</w:t>
            </w:r>
          </w:p>
        </w:tc>
        <w:tc>
          <w:tcPr>
            <w:tcW w:w="1920" w:type="dxa"/>
            <w:gridSpan w:val="2"/>
            <w:tcBorders>
              <w:top w:val="single" w:sz="4" w:space="0" w:color="auto"/>
              <w:left w:val="nil"/>
              <w:bottom w:val="single" w:sz="4" w:space="0" w:color="auto"/>
              <w:right w:val="single" w:sz="4" w:space="0" w:color="auto"/>
            </w:tcBorders>
            <w:shd w:val="clear" w:color="000000" w:fill="FFF2CC"/>
            <w:noWrap/>
            <w:vAlign w:val="center"/>
          </w:tcPr>
          <w:p w14:paraId="53426EA6" w14:textId="1A608927" w:rsidR="00FA6973" w:rsidRPr="00D561B2" w:rsidRDefault="00FA6973" w:rsidP="00D561B2">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GEO: Ka-band</w:t>
            </w:r>
          </w:p>
        </w:tc>
      </w:tr>
      <w:tr w:rsidR="00FA6973" w:rsidRPr="00D561B2" w14:paraId="269A7A94" w14:textId="77777777" w:rsidTr="00815161">
        <w:trPr>
          <w:trHeight w:val="288"/>
          <w:jc w:val="center"/>
        </w:trPr>
        <w:tc>
          <w:tcPr>
            <w:tcW w:w="3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26224C" w14:textId="77777777" w:rsidR="00FA6973" w:rsidRPr="00D561B2" w:rsidRDefault="00FA6973" w:rsidP="00D561B2">
            <w:pPr>
              <w:spacing w:after="0" w:line="240" w:lineRule="auto"/>
              <w:jc w:val="center"/>
              <w:rPr>
                <w:rFonts w:ascii="Calibri" w:eastAsia="Times New Roman" w:hAnsi="Calibri" w:cs="Calibri"/>
                <w:color w:val="000000"/>
              </w:rPr>
            </w:pPr>
            <w:r w:rsidRPr="00D561B2">
              <w:rPr>
                <w:rFonts w:ascii="Calibri" w:eastAsia="Times New Roman" w:hAnsi="Calibri" w:cs="Calibri"/>
                <w:color w:val="000000"/>
              </w:rPr>
              <w:t>System</w:t>
            </w:r>
          </w:p>
        </w:tc>
        <w:tc>
          <w:tcPr>
            <w:tcW w:w="1280" w:type="dxa"/>
            <w:tcBorders>
              <w:top w:val="single" w:sz="4" w:space="0" w:color="auto"/>
              <w:left w:val="nil"/>
              <w:bottom w:val="single" w:sz="4" w:space="0" w:color="auto"/>
              <w:right w:val="single" w:sz="4" w:space="0" w:color="auto"/>
            </w:tcBorders>
            <w:shd w:val="clear" w:color="000000" w:fill="FCE4D6"/>
            <w:noWrap/>
            <w:vAlign w:val="center"/>
            <w:hideMark/>
          </w:tcPr>
          <w:p w14:paraId="7BDD310E" w14:textId="77777777" w:rsidR="00FA6973" w:rsidRPr="00D561B2" w:rsidRDefault="00FA6973" w:rsidP="00D561B2">
            <w:pPr>
              <w:spacing w:after="0" w:line="240" w:lineRule="auto"/>
              <w:jc w:val="center"/>
              <w:rPr>
                <w:rFonts w:ascii="Calibri" w:eastAsia="Times New Roman" w:hAnsi="Calibri" w:cs="Calibri"/>
                <w:b/>
                <w:bCs/>
                <w:color w:val="000000"/>
              </w:rPr>
            </w:pPr>
            <w:r w:rsidRPr="00D561B2">
              <w:rPr>
                <w:rFonts w:ascii="Calibri" w:eastAsia="Times New Roman" w:hAnsi="Calibri" w:cs="Calibri"/>
                <w:b/>
                <w:bCs/>
                <w:color w:val="000000"/>
              </w:rPr>
              <w:t>GEO DL</w:t>
            </w:r>
          </w:p>
        </w:tc>
        <w:tc>
          <w:tcPr>
            <w:tcW w:w="1300" w:type="dxa"/>
            <w:tcBorders>
              <w:top w:val="single" w:sz="4" w:space="0" w:color="auto"/>
              <w:left w:val="nil"/>
              <w:bottom w:val="single" w:sz="4" w:space="0" w:color="auto"/>
              <w:right w:val="single" w:sz="4" w:space="0" w:color="auto"/>
            </w:tcBorders>
            <w:shd w:val="clear" w:color="000000" w:fill="FCE4D6"/>
            <w:noWrap/>
            <w:vAlign w:val="center"/>
            <w:hideMark/>
          </w:tcPr>
          <w:p w14:paraId="6FAFD009" w14:textId="77777777" w:rsidR="00FA6973" w:rsidRPr="00D561B2" w:rsidRDefault="00FA6973" w:rsidP="00D561B2">
            <w:pPr>
              <w:spacing w:after="0" w:line="240" w:lineRule="auto"/>
              <w:jc w:val="center"/>
              <w:rPr>
                <w:rFonts w:ascii="Calibri" w:eastAsia="Times New Roman" w:hAnsi="Calibri" w:cs="Calibri"/>
                <w:b/>
                <w:bCs/>
                <w:color w:val="000000"/>
              </w:rPr>
            </w:pPr>
            <w:r w:rsidRPr="00D561B2">
              <w:rPr>
                <w:rFonts w:ascii="Calibri" w:eastAsia="Times New Roman" w:hAnsi="Calibri" w:cs="Calibri"/>
                <w:b/>
                <w:bCs/>
                <w:color w:val="000000"/>
              </w:rPr>
              <w:t>GEO UL</w:t>
            </w:r>
          </w:p>
        </w:tc>
        <w:tc>
          <w:tcPr>
            <w:tcW w:w="957" w:type="dxa"/>
            <w:tcBorders>
              <w:top w:val="single" w:sz="4" w:space="0" w:color="auto"/>
              <w:left w:val="nil"/>
              <w:bottom w:val="single" w:sz="4" w:space="0" w:color="auto"/>
              <w:right w:val="single" w:sz="4" w:space="0" w:color="auto"/>
            </w:tcBorders>
            <w:shd w:val="clear" w:color="000000" w:fill="FFF2CC"/>
            <w:noWrap/>
            <w:vAlign w:val="center"/>
            <w:hideMark/>
          </w:tcPr>
          <w:p w14:paraId="46CCCAC0" w14:textId="77777777" w:rsidR="00FA6973" w:rsidRPr="00D561B2" w:rsidRDefault="00FA6973" w:rsidP="00D561B2">
            <w:pPr>
              <w:spacing w:after="0" w:line="240" w:lineRule="auto"/>
              <w:jc w:val="center"/>
              <w:rPr>
                <w:rFonts w:ascii="Calibri" w:eastAsia="Times New Roman" w:hAnsi="Calibri" w:cs="Calibri"/>
                <w:b/>
                <w:bCs/>
                <w:color w:val="000000"/>
              </w:rPr>
            </w:pPr>
            <w:r w:rsidRPr="00D561B2">
              <w:rPr>
                <w:rFonts w:ascii="Calibri" w:eastAsia="Times New Roman" w:hAnsi="Calibri" w:cs="Calibri"/>
                <w:b/>
                <w:bCs/>
                <w:color w:val="000000"/>
              </w:rPr>
              <w:t>GEO DL</w:t>
            </w:r>
          </w:p>
        </w:tc>
        <w:tc>
          <w:tcPr>
            <w:tcW w:w="963" w:type="dxa"/>
            <w:tcBorders>
              <w:top w:val="single" w:sz="4" w:space="0" w:color="auto"/>
              <w:left w:val="nil"/>
              <w:bottom w:val="single" w:sz="4" w:space="0" w:color="auto"/>
              <w:right w:val="single" w:sz="4" w:space="0" w:color="auto"/>
            </w:tcBorders>
            <w:shd w:val="clear" w:color="000000" w:fill="FFF2CC"/>
            <w:noWrap/>
            <w:vAlign w:val="center"/>
            <w:hideMark/>
          </w:tcPr>
          <w:p w14:paraId="398B0DBA" w14:textId="77777777" w:rsidR="00FA6973" w:rsidRPr="00D561B2" w:rsidRDefault="00FA6973" w:rsidP="00D561B2">
            <w:pPr>
              <w:spacing w:after="0" w:line="240" w:lineRule="auto"/>
              <w:jc w:val="center"/>
              <w:rPr>
                <w:rFonts w:ascii="Calibri" w:eastAsia="Times New Roman" w:hAnsi="Calibri" w:cs="Calibri"/>
                <w:b/>
                <w:bCs/>
                <w:color w:val="000000"/>
              </w:rPr>
            </w:pPr>
            <w:r w:rsidRPr="00D561B2">
              <w:rPr>
                <w:rFonts w:ascii="Calibri" w:eastAsia="Times New Roman" w:hAnsi="Calibri" w:cs="Calibri"/>
                <w:b/>
                <w:bCs/>
                <w:color w:val="000000"/>
              </w:rPr>
              <w:t>GEO UL</w:t>
            </w:r>
          </w:p>
        </w:tc>
      </w:tr>
      <w:tr w:rsidR="00FA6973" w:rsidRPr="00D561B2" w14:paraId="510A9276" w14:textId="77777777" w:rsidTr="00815161">
        <w:trPr>
          <w:trHeight w:val="288"/>
          <w:jc w:val="center"/>
        </w:trPr>
        <w:tc>
          <w:tcPr>
            <w:tcW w:w="3620" w:type="dxa"/>
            <w:tcBorders>
              <w:top w:val="nil"/>
              <w:left w:val="single" w:sz="4" w:space="0" w:color="auto"/>
              <w:bottom w:val="single" w:sz="4" w:space="0" w:color="auto"/>
              <w:right w:val="single" w:sz="4" w:space="0" w:color="auto"/>
            </w:tcBorders>
            <w:shd w:val="clear" w:color="000000" w:fill="FFFFFF"/>
            <w:noWrap/>
            <w:vAlign w:val="center"/>
            <w:hideMark/>
          </w:tcPr>
          <w:p w14:paraId="0F5D49B9" w14:textId="60DB8FC5" w:rsidR="00FA6973" w:rsidRPr="00F22649" w:rsidRDefault="00FA6973" w:rsidP="00D561B2">
            <w:pPr>
              <w:spacing w:after="0" w:line="240" w:lineRule="auto"/>
              <w:jc w:val="center"/>
              <w:rPr>
                <w:rFonts w:ascii="Calibri" w:eastAsia="Times New Roman" w:hAnsi="Calibri" w:cs="Calibri"/>
                <w:color w:val="000000"/>
              </w:rPr>
            </w:pPr>
            <w:r w:rsidRPr="00F22649">
              <w:rPr>
                <w:rFonts w:ascii="Calibri" w:eastAsia="Times New Roman" w:hAnsi="Calibri" w:cs="Calibri"/>
                <w:color w:val="000000"/>
              </w:rPr>
              <w:t>TX: EIRP/spot/</w:t>
            </w:r>
            <w:r w:rsidR="00B626C7" w:rsidRPr="00F22649">
              <w:rPr>
                <w:rFonts w:ascii="Calibri" w:eastAsia="Times New Roman" w:hAnsi="Calibri" w:cs="Calibri"/>
                <w:color w:val="000000"/>
              </w:rPr>
              <w:t>BW</w:t>
            </w:r>
            <w:r w:rsidRPr="00F22649">
              <w:rPr>
                <w:rFonts w:ascii="Calibri" w:eastAsia="Times New Roman" w:hAnsi="Calibri" w:cs="Calibri"/>
                <w:color w:val="000000"/>
              </w:rPr>
              <w:t xml:space="preserve"> [dBm]</w:t>
            </w:r>
          </w:p>
        </w:tc>
        <w:tc>
          <w:tcPr>
            <w:tcW w:w="1280" w:type="dxa"/>
            <w:tcBorders>
              <w:top w:val="nil"/>
              <w:left w:val="nil"/>
              <w:bottom w:val="single" w:sz="4" w:space="0" w:color="auto"/>
              <w:right w:val="single" w:sz="4" w:space="0" w:color="auto"/>
            </w:tcBorders>
            <w:shd w:val="clear" w:color="000000" w:fill="FCE4D6"/>
            <w:noWrap/>
            <w:vAlign w:val="center"/>
            <w:hideMark/>
          </w:tcPr>
          <w:p w14:paraId="748FA8A3" w14:textId="77777777" w:rsidR="00FA6973" w:rsidRPr="00D561B2" w:rsidRDefault="00FA6973" w:rsidP="00D561B2">
            <w:pPr>
              <w:spacing w:after="0" w:line="240" w:lineRule="auto"/>
              <w:jc w:val="center"/>
              <w:rPr>
                <w:rFonts w:ascii="Calibri" w:eastAsia="Times New Roman" w:hAnsi="Calibri" w:cs="Calibri"/>
                <w:color w:val="000000"/>
              </w:rPr>
            </w:pPr>
            <w:r w:rsidRPr="00D561B2">
              <w:rPr>
                <w:rFonts w:ascii="Calibri" w:eastAsia="Times New Roman" w:hAnsi="Calibri" w:cs="Calibri"/>
                <w:color w:val="000000"/>
              </w:rPr>
              <w:t>81.6</w:t>
            </w:r>
          </w:p>
        </w:tc>
        <w:tc>
          <w:tcPr>
            <w:tcW w:w="1300" w:type="dxa"/>
            <w:tcBorders>
              <w:top w:val="nil"/>
              <w:left w:val="nil"/>
              <w:bottom w:val="single" w:sz="4" w:space="0" w:color="auto"/>
              <w:right w:val="single" w:sz="4" w:space="0" w:color="auto"/>
            </w:tcBorders>
            <w:shd w:val="clear" w:color="000000" w:fill="FCE4D6"/>
            <w:noWrap/>
            <w:vAlign w:val="center"/>
            <w:hideMark/>
          </w:tcPr>
          <w:p w14:paraId="46457903" w14:textId="77777777" w:rsidR="00FA6973" w:rsidRPr="00D561B2" w:rsidRDefault="00FA6973" w:rsidP="00D561B2">
            <w:pPr>
              <w:spacing w:after="0" w:line="240" w:lineRule="auto"/>
              <w:jc w:val="center"/>
              <w:rPr>
                <w:rFonts w:ascii="Calibri" w:eastAsia="Times New Roman" w:hAnsi="Calibri" w:cs="Calibri"/>
                <w:color w:val="000000"/>
              </w:rPr>
            </w:pPr>
            <w:r w:rsidRPr="00D561B2">
              <w:rPr>
                <w:rFonts w:ascii="Calibri" w:eastAsia="Times New Roman" w:hAnsi="Calibri" w:cs="Calibri"/>
                <w:color w:val="000000"/>
              </w:rPr>
              <w:t>23.0</w:t>
            </w:r>
          </w:p>
        </w:tc>
        <w:tc>
          <w:tcPr>
            <w:tcW w:w="957" w:type="dxa"/>
            <w:tcBorders>
              <w:top w:val="nil"/>
              <w:left w:val="nil"/>
              <w:bottom w:val="single" w:sz="4" w:space="0" w:color="auto"/>
              <w:right w:val="single" w:sz="4" w:space="0" w:color="auto"/>
            </w:tcBorders>
            <w:shd w:val="clear" w:color="000000" w:fill="FFF2CC"/>
            <w:noWrap/>
            <w:vAlign w:val="center"/>
            <w:hideMark/>
          </w:tcPr>
          <w:p w14:paraId="72405568" w14:textId="77777777" w:rsidR="00FA6973" w:rsidRPr="00D561B2" w:rsidRDefault="00FA6973" w:rsidP="00D561B2">
            <w:pPr>
              <w:spacing w:after="0" w:line="240" w:lineRule="auto"/>
              <w:jc w:val="center"/>
              <w:rPr>
                <w:rFonts w:ascii="Calibri" w:eastAsia="Times New Roman" w:hAnsi="Calibri" w:cs="Calibri"/>
                <w:color w:val="000000"/>
              </w:rPr>
            </w:pPr>
            <w:r w:rsidRPr="00D561B2">
              <w:rPr>
                <w:rFonts w:ascii="Calibri" w:eastAsia="Times New Roman" w:hAnsi="Calibri" w:cs="Calibri"/>
                <w:color w:val="000000"/>
              </w:rPr>
              <w:t>62.6</w:t>
            </w:r>
          </w:p>
        </w:tc>
        <w:tc>
          <w:tcPr>
            <w:tcW w:w="963" w:type="dxa"/>
            <w:tcBorders>
              <w:top w:val="nil"/>
              <w:left w:val="nil"/>
              <w:bottom w:val="single" w:sz="4" w:space="0" w:color="auto"/>
              <w:right w:val="single" w:sz="4" w:space="0" w:color="auto"/>
            </w:tcBorders>
            <w:shd w:val="clear" w:color="000000" w:fill="FFF2CC"/>
            <w:noWrap/>
            <w:vAlign w:val="center"/>
            <w:hideMark/>
          </w:tcPr>
          <w:p w14:paraId="29197783" w14:textId="77777777" w:rsidR="00FA6973" w:rsidRPr="00D561B2" w:rsidRDefault="00FA6973" w:rsidP="00D561B2">
            <w:pPr>
              <w:spacing w:after="0" w:line="240" w:lineRule="auto"/>
              <w:jc w:val="center"/>
              <w:rPr>
                <w:rFonts w:ascii="Calibri" w:eastAsia="Times New Roman" w:hAnsi="Calibri" w:cs="Calibri"/>
                <w:color w:val="000000"/>
              </w:rPr>
            </w:pPr>
            <w:r w:rsidRPr="00D561B2">
              <w:rPr>
                <w:rFonts w:ascii="Calibri" w:eastAsia="Times New Roman" w:hAnsi="Calibri" w:cs="Calibri"/>
                <w:color w:val="000000"/>
              </w:rPr>
              <w:t>76.2</w:t>
            </w:r>
          </w:p>
        </w:tc>
      </w:tr>
      <w:tr w:rsidR="00FA6973" w:rsidRPr="00D561B2" w14:paraId="0180FCAE" w14:textId="77777777" w:rsidTr="00815161">
        <w:trPr>
          <w:trHeight w:val="288"/>
          <w:jc w:val="center"/>
        </w:trPr>
        <w:tc>
          <w:tcPr>
            <w:tcW w:w="3620" w:type="dxa"/>
            <w:tcBorders>
              <w:top w:val="nil"/>
              <w:left w:val="single" w:sz="4" w:space="0" w:color="auto"/>
              <w:bottom w:val="single" w:sz="4" w:space="0" w:color="auto"/>
              <w:right w:val="single" w:sz="4" w:space="0" w:color="auto"/>
            </w:tcBorders>
            <w:shd w:val="clear" w:color="000000" w:fill="FFFFFF"/>
            <w:noWrap/>
            <w:vAlign w:val="center"/>
            <w:hideMark/>
          </w:tcPr>
          <w:p w14:paraId="1DA1A9B6" w14:textId="77777777" w:rsidR="00FA6973" w:rsidRPr="00D561B2" w:rsidRDefault="00FA6973" w:rsidP="00D561B2">
            <w:pPr>
              <w:spacing w:after="0" w:line="240" w:lineRule="auto"/>
              <w:jc w:val="center"/>
              <w:rPr>
                <w:rFonts w:ascii="Calibri" w:eastAsia="Times New Roman" w:hAnsi="Calibri" w:cs="Calibri"/>
                <w:color w:val="000000"/>
              </w:rPr>
            </w:pPr>
            <w:r w:rsidRPr="00D561B2">
              <w:rPr>
                <w:rFonts w:ascii="Calibri" w:eastAsia="Times New Roman" w:hAnsi="Calibri" w:cs="Calibri"/>
                <w:color w:val="000000"/>
              </w:rPr>
              <w:t>RX: G/T [dB/T]</w:t>
            </w:r>
          </w:p>
        </w:tc>
        <w:tc>
          <w:tcPr>
            <w:tcW w:w="1280" w:type="dxa"/>
            <w:tcBorders>
              <w:top w:val="nil"/>
              <w:left w:val="nil"/>
              <w:bottom w:val="single" w:sz="4" w:space="0" w:color="auto"/>
              <w:right w:val="single" w:sz="4" w:space="0" w:color="auto"/>
            </w:tcBorders>
            <w:shd w:val="clear" w:color="000000" w:fill="FCE4D6"/>
            <w:noWrap/>
            <w:vAlign w:val="center"/>
            <w:hideMark/>
          </w:tcPr>
          <w:p w14:paraId="00A5AF64" w14:textId="77777777" w:rsidR="00FA6973" w:rsidRPr="00D561B2" w:rsidRDefault="00FA6973" w:rsidP="00D561B2">
            <w:pPr>
              <w:spacing w:after="0" w:line="240" w:lineRule="auto"/>
              <w:jc w:val="center"/>
              <w:rPr>
                <w:rFonts w:ascii="Calibri" w:eastAsia="Times New Roman" w:hAnsi="Calibri" w:cs="Calibri"/>
                <w:color w:val="000000"/>
              </w:rPr>
            </w:pPr>
            <w:r w:rsidRPr="00D561B2">
              <w:rPr>
                <w:rFonts w:ascii="Calibri" w:eastAsia="Times New Roman" w:hAnsi="Calibri" w:cs="Calibri"/>
                <w:color w:val="000000"/>
              </w:rPr>
              <w:t>-31.6</w:t>
            </w:r>
          </w:p>
        </w:tc>
        <w:tc>
          <w:tcPr>
            <w:tcW w:w="1300" w:type="dxa"/>
            <w:tcBorders>
              <w:top w:val="nil"/>
              <w:left w:val="nil"/>
              <w:bottom w:val="single" w:sz="4" w:space="0" w:color="auto"/>
              <w:right w:val="single" w:sz="4" w:space="0" w:color="auto"/>
            </w:tcBorders>
            <w:shd w:val="clear" w:color="000000" w:fill="FCE4D6"/>
            <w:noWrap/>
            <w:vAlign w:val="center"/>
            <w:hideMark/>
          </w:tcPr>
          <w:p w14:paraId="6F462DBF" w14:textId="77777777" w:rsidR="00FA6973" w:rsidRPr="00D561B2" w:rsidRDefault="00FA6973" w:rsidP="00D561B2">
            <w:pPr>
              <w:spacing w:after="0" w:line="240" w:lineRule="auto"/>
              <w:jc w:val="center"/>
              <w:rPr>
                <w:rFonts w:ascii="Calibri" w:eastAsia="Times New Roman" w:hAnsi="Calibri" w:cs="Calibri"/>
                <w:color w:val="000000"/>
              </w:rPr>
            </w:pPr>
            <w:r w:rsidRPr="00D561B2">
              <w:rPr>
                <w:rFonts w:ascii="Calibri" w:eastAsia="Times New Roman" w:hAnsi="Calibri" w:cs="Calibri"/>
                <w:color w:val="000000"/>
              </w:rPr>
              <w:t>19.0</w:t>
            </w:r>
          </w:p>
        </w:tc>
        <w:tc>
          <w:tcPr>
            <w:tcW w:w="957" w:type="dxa"/>
            <w:tcBorders>
              <w:top w:val="nil"/>
              <w:left w:val="nil"/>
              <w:bottom w:val="single" w:sz="4" w:space="0" w:color="auto"/>
              <w:right w:val="single" w:sz="4" w:space="0" w:color="auto"/>
            </w:tcBorders>
            <w:shd w:val="clear" w:color="000000" w:fill="FFF2CC"/>
            <w:noWrap/>
            <w:vAlign w:val="center"/>
            <w:hideMark/>
          </w:tcPr>
          <w:p w14:paraId="7255EED9" w14:textId="77777777" w:rsidR="00FA6973" w:rsidRPr="00D561B2" w:rsidRDefault="00FA6973" w:rsidP="00D561B2">
            <w:pPr>
              <w:spacing w:after="0" w:line="240" w:lineRule="auto"/>
              <w:jc w:val="center"/>
              <w:rPr>
                <w:rFonts w:ascii="Calibri" w:eastAsia="Times New Roman" w:hAnsi="Calibri" w:cs="Calibri"/>
                <w:color w:val="000000"/>
              </w:rPr>
            </w:pPr>
            <w:r w:rsidRPr="00D561B2">
              <w:rPr>
                <w:rFonts w:ascii="Calibri" w:eastAsia="Times New Roman" w:hAnsi="Calibri" w:cs="Calibri"/>
                <w:color w:val="000000"/>
              </w:rPr>
              <w:t>15.9</w:t>
            </w:r>
          </w:p>
        </w:tc>
        <w:tc>
          <w:tcPr>
            <w:tcW w:w="963" w:type="dxa"/>
            <w:tcBorders>
              <w:top w:val="nil"/>
              <w:left w:val="nil"/>
              <w:bottom w:val="single" w:sz="4" w:space="0" w:color="auto"/>
              <w:right w:val="single" w:sz="4" w:space="0" w:color="auto"/>
            </w:tcBorders>
            <w:shd w:val="clear" w:color="000000" w:fill="FFF2CC"/>
            <w:noWrap/>
            <w:vAlign w:val="center"/>
            <w:hideMark/>
          </w:tcPr>
          <w:p w14:paraId="65B8E6F4" w14:textId="77777777" w:rsidR="00FA6973" w:rsidRPr="00D561B2" w:rsidRDefault="00FA6973" w:rsidP="00D561B2">
            <w:pPr>
              <w:spacing w:after="0" w:line="240" w:lineRule="auto"/>
              <w:jc w:val="center"/>
              <w:rPr>
                <w:rFonts w:ascii="Calibri" w:eastAsia="Times New Roman" w:hAnsi="Calibri" w:cs="Calibri"/>
                <w:color w:val="000000"/>
              </w:rPr>
            </w:pPr>
            <w:r w:rsidRPr="00D561B2">
              <w:rPr>
                <w:rFonts w:ascii="Calibri" w:eastAsia="Times New Roman" w:hAnsi="Calibri" w:cs="Calibri"/>
                <w:color w:val="000000"/>
              </w:rPr>
              <w:t>28.0</w:t>
            </w:r>
          </w:p>
        </w:tc>
      </w:tr>
      <w:tr w:rsidR="00FA6973" w:rsidRPr="00D561B2" w14:paraId="13021326" w14:textId="77777777" w:rsidTr="00815161">
        <w:trPr>
          <w:trHeight w:val="288"/>
          <w:jc w:val="center"/>
        </w:trPr>
        <w:tc>
          <w:tcPr>
            <w:tcW w:w="3620" w:type="dxa"/>
            <w:tcBorders>
              <w:top w:val="nil"/>
              <w:left w:val="single" w:sz="4" w:space="0" w:color="auto"/>
              <w:bottom w:val="single" w:sz="4" w:space="0" w:color="auto"/>
              <w:right w:val="single" w:sz="4" w:space="0" w:color="auto"/>
            </w:tcBorders>
            <w:shd w:val="clear" w:color="000000" w:fill="FFFFFF"/>
            <w:noWrap/>
            <w:vAlign w:val="center"/>
            <w:hideMark/>
          </w:tcPr>
          <w:p w14:paraId="4C6A511D" w14:textId="77777777" w:rsidR="00FA6973" w:rsidRPr="00D561B2" w:rsidRDefault="00FA6973" w:rsidP="00D561B2">
            <w:pPr>
              <w:spacing w:after="0" w:line="240" w:lineRule="auto"/>
              <w:jc w:val="center"/>
              <w:rPr>
                <w:rFonts w:ascii="Calibri" w:eastAsia="Times New Roman" w:hAnsi="Calibri" w:cs="Calibri"/>
                <w:color w:val="000000"/>
              </w:rPr>
            </w:pPr>
            <w:r w:rsidRPr="00D561B2">
              <w:rPr>
                <w:rFonts w:ascii="Calibri" w:eastAsia="Times New Roman" w:hAnsi="Calibri" w:cs="Calibri"/>
                <w:color w:val="000000"/>
              </w:rPr>
              <w:t>Bandwidth [Hz]</w:t>
            </w:r>
          </w:p>
        </w:tc>
        <w:tc>
          <w:tcPr>
            <w:tcW w:w="1280" w:type="dxa"/>
            <w:tcBorders>
              <w:top w:val="nil"/>
              <w:left w:val="nil"/>
              <w:bottom w:val="single" w:sz="4" w:space="0" w:color="auto"/>
              <w:right w:val="single" w:sz="4" w:space="0" w:color="auto"/>
            </w:tcBorders>
            <w:shd w:val="clear" w:color="000000" w:fill="FCE4D6"/>
            <w:noWrap/>
            <w:vAlign w:val="center"/>
            <w:hideMark/>
          </w:tcPr>
          <w:p w14:paraId="085F90FF" w14:textId="77777777" w:rsidR="00FA6973" w:rsidRPr="00D561B2" w:rsidRDefault="00FA6973" w:rsidP="00D561B2">
            <w:pPr>
              <w:spacing w:after="0" w:line="240" w:lineRule="auto"/>
              <w:jc w:val="center"/>
              <w:rPr>
                <w:rFonts w:ascii="Calibri" w:eastAsia="Times New Roman" w:hAnsi="Calibri" w:cs="Calibri"/>
                <w:color w:val="000000"/>
              </w:rPr>
            </w:pPr>
            <w:r w:rsidRPr="00D561B2">
              <w:rPr>
                <w:rFonts w:ascii="Calibri" w:eastAsia="Times New Roman" w:hAnsi="Calibri" w:cs="Calibri"/>
                <w:color w:val="000000"/>
              </w:rPr>
              <w:t>180000</w:t>
            </w:r>
          </w:p>
        </w:tc>
        <w:tc>
          <w:tcPr>
            <w:tcW w:w="1300" w:type="dxa"/>
            <w:tcBorders>
              <w:top w:val="nil"/>
              <w:left w:val="nil"/>
              <w:bottom w:val="single" w:sz="4" w:space="0" w:color="auto"/>
              <w:right w:val="single" w:sz="4" w:space="0" w:color="auto"/>
            </w:tcBorders>
            <w:shd w:val="clear" w:color="000000" w:fill="FCE4D6"/>
            <w:noWrap/>
            <w:vAlign w:val="center"/>
            <w:hideMark/>
          </w:tcPr>
          <w:p w14:paraId="554A3EE8" w14:textId="77777777" w:rsidR="00FA6973" w:rsidRPr="00D561B2" w:rsidRDefault="00FA6973" w:rsidP="00D561B2">
            <w:pPr>
              <w:spacing w:after="0" w:line="240" w:lineRule="auto"/>
              <w:jc w:val="center"/>
              <w:rPr>
                <w:rFonts w:ascii="Calibri" w:eastAsia="Times New Roman" w:hAnsi="Calibri" w:cs="Calibri"/>
                <w:color w:val="000000"/>
              </w:rPr>
            </w:pPr>
            <w:r w:rsidRPr="00D561B2">
              <w:rPr>
                <w:rFonts w:ascii="Calibri" w:eastAsia="Times New Roman" w:hAnsi="Calibri" w:cs="Calibri"/>
                <w:color w:val="000000"/>
              </w:rPr>
              <w:t>180000</w:t>
            </w:r>
          </w:p>
        </w:tc>
        <w:tc>
          <w:tcPr>
            <w:tcW w:w="957" w:type="dxa"/>
            <w:tcBorders>
              <w:top w:val="nil"/>
              <w:left w:val="nil"/>
              <w:bottom w:val="single" w:sz="4" w:space="0" w:color="auto"/>
              <w:right w:val="single" w:sz="4" w:space="0" w:color="auto"/>
            </w:tcBorders>
            <w:shd w:val="clear" w:color="000000" w:fill="FFF2CC"/>
            <w:noWrap/>
            <w:vAlign w:val="center"/>
            <w:hideMark/>
          </w:tcPr>
          <w:p w14:paraId="1C5C33EF" w14:textId="77777777" w:rsidR="00FA6973" w:rsidRPr="00D561B2" w:rsidRDefault="00FA6973" w:rsidP="00D561B2">
            <w:pPr>
              <w:spacing w:after="0" w:line="240" w:lineRule="auto"/>
              <w:jc w:val="center"/>
              <w:rPr>
                <w:rFonts w:ascii="Calibri" w:eastAsia="Times New Roman" w:hAnsi="Calibri" w:cs="Calibri"/>
                <w:color w:val="000000"/>
              </w:rPr>
            </w:pPr>
            <w:r w:rsidRPr="00D561B2">
              <w:rPr>
                <w:rFonts w:ascii="Calibri" w:eastAsia="Times New Roman" w:hAnsi="Calibri" w:cs="Calibri"/>
                <w:color w:val="000000"/>
              </w:rPr>
              <w:t>180000</w:t>
            </w:r>
          </w:p>
        </w:tc>
        <w:tc>
          <w:tcPr>
            <w:tcW w:w="963" w:type="dxa"/>
            <w:tcBorders>
              <w:top w:val="nil"/>
              <w:left w:val="nil"/>
              <w:bottom w:val="single" w:sz="4" w:space="0" w:color="auto"/>
              <w:right w:val="single" w:sz="4" w:space="0" w:color="auto"/>
            </w:tcBorders>
            <w:shd w:val="clear" w:color="000000" w:fill="FFF2CC"/>
            <w:noWrap/>
            <w:vAlign w:val="center"/>
            <w:hideMark/>
          </w:tcPr>
          <w:p w14:paraId="18410FA6" w14:textId="376DD2CD" w:rsidR="00FA6973" w:rsidRPr="00D561B2" w:rsidRDefault="0056742D" w:rsidP="00D561B2">
            <w:pPr>
              <w:spacing w:after="0" w:line="240" w:lineRule="auto"/>
              <w:jc w:val="center"/>
              <w:rPr>
                <w:rFonts w:ascii="Calibri" w:eastAsia="Times New Roman" w:hAnsi="Calibri" w:cs="Calibri"/>
                <w:color w:val="000000"/>
              </w:rPr>
            </w:pPr>
            <w:r>
              <w:rPr>
                <w:rFonts w:ascii="Calibri" w:eastAsia="Times New Roman" w:hAnsi="Calibri" w:cs="Calibri"/>
                <w:color w:val="000000"/>
              </w:rPr>
              <w:t>4E+08</w:t>
            </w:r>
          </w:p>
        </w:tc>
      </w:tr>
      <w:tr w:rsidR="00FA6973" w:rsidRPr="00D561B2" w14:paraId="5F71F04F" w14:textId="77777777" w:rsidTr="00815161">
        <w:trPr>
          <w:trHeight w:val="288"/>
          <w:jc w:val="center"/>
        </w:trPr>
        <w:tc>
          <w:tcPr>
            <w:tcW w:w="3620" w:type="dxa"/>
            <w:tcBorders>
              <w:top w:val="nil"/>
              <w:left w:val="single" w:sz="4" w:space="0" w:color="auto"/>
              <w:bottom w:val="single" w:sz="4" w:space="0" w:color="auto"/>
              <w:right w:val="single" w:sz="4" w:space="0" w:color="auto"/>
            </w:tcBorders>
            <w:shd w:val="clear" w:color="000000" w:fill="FFFFFF"/>
            <w:noWrap/>
            <w:vAlign w:val="center"/>
            <w:hideMark/>
          </w:tcPr>
          <w:p w14:paraId="51A542FD" w14:textId="77777777" w:rsidR="00FA6973" w:rsidRPr="00F22649" w:rsidRDefault="00FA6973" w:rsidP="00D561B2">
            <w:pPr>
              <w:spacing w:after="0" w:line="240" w:lineRule="auto"/>
              <w:jc w:val="center"/>
              <w:rPr>
                <w:rFonts w:ascii="Calibri" w:eastAsia="Times New Roman" w:hAnsi="Calibri" w:cs="Calibri"/>
                <w:color w:val="000000"/>
              </w:rPr>
            </w:pPr>
            <w:r w:rsidRPr="00F22649">
              <w:rPr>
                <w:rFonts w:ascii="Calibri" w:eastAsia="Times New Roman" w:hAnsi="Calibri" w:cs="Calibri"/>
                <w:color w:val="000000"/>
              </w:rPr>
              <w:t>Free space path loss (PL) [dB]</w:t>
            </w:r>
          </w:p>
        </w:tc>
        <w:tc>
          <w:tcPr>
            <w:tcW w:w="1280" w:type="dxa"/>
            <w:tcBorders>
              <w:top w:val="nil"/>
              <w:left w:val="nil"/>
              <w:bottom w:val="single" w:sz="4" w:space="0" w:color="auto"/>
              <w:right w:val="single" w:sz="4" w:space="0" w:color="auto"/>
            </w:tcBorders>
            <w:shd w:val="clear" w:color="000000" w:fill="FCE4D6"/>
            <w:noWrap/>
            <w:vAlign w:val="center"/>
            <w:hideMark/>
          </w:tcPr>
          <w:p w14:paraId="38611FDD" w14:textId="77777777" w:rsidR="00FA6973" w:rsidRPr="00EB66AE" w:rsidRDefault="00FA6973" w:rsidP="00D561B2">
            <w:pPr>
              <w:spacing w:after="0" w:line="240" w:lineRule="auto"/>
              <w:jc w:val="center"/>
              <w:rPr>
                <w:rFonts w:ascii="Calibri" w:eastAsia="Times New Roman" w:hAnsi="Calibri" w:cs="Calibri"/>
              </w:rPr>
            </w:pPr>
            <w:r w:rsidRPr="00EB66AE">
              <w:rPr>
                <w:rFonts w:ascii="Calibri" w:eastAsia="Times New Roman" w:hAnsi="Calibri" w:cs="Calibri"/>
              </w:rPr>
              <w:t>190.6</w:t>
            </w:r>
          </w:p>
        </w:tc>
        <w:tc>
          <w:tcPr>
            <w:tcW w:w="1300" w:type="dxa"/>
            <w:tcBorders>
              <w:top w:val="nil"/>
              <w:left w:val="nil"/>
              <w:bottom w:val="single" w:sz="4" w:space="0" w:color="auto"/>
              <w:right w:val="single" w:sz="4" w:space="0" w:color="auto"/>
            </w:tcBorders>
            <w:shd w:val="clear" w:color="000000" w:fill="FCE4D6"/>
            <w:noWrap/>
            <w:vAlign w:val="center"/>
            <w:hideMark/>
          </w:tcPr>
          <w:p w14:paraId="01103BBA" w14:textId="77777777" w:rsidR="00FA6973" w:rsidRPr="00EB66AE" w:rsidRDefault="00FA6973" w:rsidP="00D561B2">
            <w:pPr>
              <w:spacing w:after="0" w:line="240" w:lineRule="auto"/>
              <w:jc w:val="center"/>
              <w:rPr>
                <w:rFonts w:ascii="Calibri" w:eastAsia="Times New Roman" w:hAnsi="Calibri" w:cs="Calibri"/>
              </w:rPr>
            </w:pPr>
            <w:r w:rsidRPr="00EB66AE">
              <w:rPr>
                <w:rFonts w:ascii="Calibri" w:eastAsia="Times New Roman" w:hAnsi="Calibri" w:cs="Calibri"/>
              </w:rPr>
              <w:t>190.6</w:t>
            </w:r>
          </w:p>
        </w:tc>
        <w:tc>
          <w:tcPr>
            <w:tcW w:w="957" w:type="dxa"/>
            <w:tcBorders>
              <w:top w:val="nil"/>
              <w:left w:val="nil"/>
              <w:bottom w:val="single" w:sz="4" w:space="0" w:color="auto"/>
              <w:right w:val="single" w:sz="4" w:space="0" w:color="auto"/>
            </w:tcBorders>
            <w:shd w:val="clear" w:color="000000" w:fill="FFF2CC"/>
            <w:noWrap/>
            <w:vAlign w:val="center"/>
            <w:hideMark/>
          </w:tcPr>
          <w:p w14:paraId="66D00B43" w14:textId="77777777" w:rsidR="00FA6973" w:rsidRPr="00EB66AE" w:rsidRDefault="00FA6973" w:rsidP="00D561B2">
            <w:pPr>
              <w:spacing w:after="0" w:line="240" w:lineRule="auto"/>
              <w:jc w:val="center"/>
              <w:rPr>
                <w:rFonts w:ascii="Calibri" w:eastAsia="Times New Roman" w:hAnsi="Calibri" w:cs="Calibri"/>
              </w:rPr>
            </w:pPr>
            <w:r w:rsidRPr="00EB66AE">
              <w:rPr>
                <w:rFonts w:ascii="Calibri" w:eastAsia="Times New Roman" w:hAnsi="Calibri" w:cs="Calibri"/>
              </w:rPr>
              <w:t>210.6</w:t>
            </w:r>
          </w:p>
        </w:tc>
        <w:tc>
          <w:tcPr>
            <w:tcW w:w="963" w:type="dxa"/>
            <w:tcBorders>
              <w:top w:val="nil"/>
              <w:left w:val="nil"/>
              <w:bottom w:val="single" w:sz="4" w:space="0" w:color="auto"/>
              <w:right w:val="single" w:sz="4" w:space="0" w:color="auto"/>
            </w:tcBorders>
            <w:shd w:val="clear" w:color="000000" w:fill="FFF2CC"/>
            <w:noWrap/>
            <w:vAlign w:val="center"/>
            <w:hideMark/>
          </w:tcPr>
          <w:p w14:paraId="564CE820" w14:textId="77777777" w:rsidR="00FA6973" w:rsidRPr="00EB66AE" w:rsidRDefault="00FA6973" w:rsidP="00D561B2">
            <w:pPr>
              <w:spacing w:after="0" w:line="240" w:lineRule="auto"/>
              <w:jc w:val="center"/>
              <w:rPr>
                <w:rFonts w:ascii="Calibri" w:eastAsia="Times New Roman" w:hAnsi="Calibri" w:cs="Calibri"/>
              </w:rPr>
            </w:pPr>
            <w:r w:rsidRPr="00EB66AE">
              <w:rPr>
                <w:rFonts w:ascii="Calibri" w:eastAsia="Times New Roman" w:hAnsi="Calibri" w:cs="Calibri"/>
              </w:rPr>
              <w:t>214.2</w:t>
            </w:r>
          </w:p>
        </w:tc>
      </w:tr>
      <w:tr w:rsidR="00FA6973" w:rsidRPr="00D561B2" w14:paraId="1BC95AAD" w14:textId="77777777" w:rsidTr="00815161">
        <w:trPr>
          <w:trHeight w:val="288"/>
          <w:jc w:val="center"/>
        </w:trPr>
        <w:tc>
          <w:tcPr>
            <w:tcW w:w="3620" w:type="dxa"/>
            <w:tcBorders>
              <w:top w:val="nil"/>
              <w:left w:val="single" w:sz="4" w:space="0" w:color="auto"/>
              <w:bottom w:val="single" w:sz="4" w:space="0" w:color="auto"/>
              <w:right w:val="single" w:sz="4" w:space="0" w:color="auto"/>
            </w:tcBorders>
            <w:shd w:val="clear" w:color="000000" w:fill="FFFFFF"/>
            <w:noWrap/>
            <w:vAlign w:val="center"/>
            <w:hideMark/>
          </w:tcPr>
          <w:p w14:paraId="311CFAFD" w14:textId="77777777" w:rsidR="00FA6973" w:rsidRPr="00D561B2" w:rsidRDefault="00FA6973" w:rsidP="00D561B2">
            <w:pPr>
              <w:spacing w:after="0" w:line="240" w:lineRule="auto"/>
              <w:jc w:val="center"/>
              <w:rPr>
                <w:rFonts w:ascii="Calibri" w:eastAsia="Times New Roman" w:hAnsi="Calibri" w:cs="Calibri"/>
                <w:color w:val="000000"/>
              </w:rPr>
            </w:pPr>
            <w:r w:rsidRPr="00D561B2">
              <w:rPr>
                <w:rFonts w:ascii="Calibri" w:eastAsia="Times New Roman" w:hAnsi="Calibri" w:cs="Calibri"/>
                <w:color w:val="000000"/>
              </w:rPr>
              <w:t>Atmospheric loss (LA)</w:t>
            </w:r>
          </w:p>
        </w:tc>
        <w:tc>
          <w:tcPr>
            <w:tcW w:w="1280" w:type="dxa"/>
            <w:tcBorders>
              <w:top w:val="nil"/>
              <w:left w:val="nil"/>
              <w:bottom w:val="single" w:sz="4" w:space="0" w:color="auto"/>
              <w:right w:val="single" w:sz="4" w:space="0" w:color="auto"/>
            </w:tcBorders>
            <w:shd w:val="clear" w:color="000000" w:fill="FCE4D6"/>
            <w:noWrap/>
            <w:vAlign w:val="center"/>
            <w:hideMark/>
          </w:tcPr>
          <w:p w14:paraId="712205DF" w14:textId="62275B8B" w:rsidR="00FA6973" w:rsidRPr="00EB66AE" w:rsidRDefault="000B3B03" w:rsidP="00D561B2">
            <w:pPr>
              <w:spacing w:after="0" w:line="240" w:lineRule="auto"/>
              <w:jc w:val="center"/>
              <w:rPr>
                <w:rFonts w:ascii="Calibri" w:eastAsia="Times New Roman" w:hAnsi="Calibri" w:cs="Calibri"/>
              </w:rPr>
            </w:pPr>
            <w:r w:rsidRPr="00EB66AE">
              <w:rPr>
                <w:rFonts w:ascii="Calibri" w:eastAsia="Times New Roman" w:hAnsi="Calibri" w:cs="Calibri"/>
              </w:rPr>
              <w:t>0.2</w:t>
            </w:r>
          </w:p>
        </w:tc>
        <w:tc>
          <w:tcPr>
            <w:tcW w:w="1300" w:type="dxa"/>
            <w:tcBorders>
              <w:top w:val="nil"/>
              <w:left w:val="nil"/>
              <w:bottom w:val="single" w:sz="4" w:space="0" w:color="auto"/>
              <w:right w:val="single" w:sz="4" w:space="0" w:color="auto"/>
            </w:tcBorders>
            <w:shd w:val="clear" w:color="000000" w:fill="FCE4D6"/>
            <w:noWrap/>
            <w:vAlign w:val="center"/>
            <w:hideMark/>
          </w:tcPr>
          <w:p w14:paraId="41481EB1" w14:textId="1AEFE1AE" w:rsidR="00FA6973" w:rsidRPr="00EB66AE" w:rsidRDefault="00632827" w:rsidP="00D561B2">
            <w:pPr>
              <w:spacing w:after="0" w:line="240" w:lineRule="auto"/>
              <w:jc w:val="center"/>
              <w:rPr>
                <w:rFonts w:ascii="Calibri" w:eastAsia="Times New Roman" w:hAnsi="Calibri" w:cs="Calibri"/>
              </w:rPr>
            </w:pPr>
            <w:r w:rsidRPr="00EB66AE">
              <w:rPr>
                <w:rFonts w:ascii="Calibri" w:eastAsia="Times New Roman" w:hAnsi="Calibri" w:cs="Calibri"/>
              </w:rPr>
              <w:t>0.2</w:t>
            </w:r>
          </w:p>
        </w:tc>
        <w:tc>
          <w:tcPr>
            <w:tcW w:w="957" w:type="dxa"/>
            <w:tcBorders>
              <w:top w:val="nil"/>
              <w:left w:val="nil"/>
              <w:bottom w:val="single" w:sz="4" w:space="0" w:color="auto"/>
              <w:right w:val="single" w:sz="4" w:space="0" w:color="auto"/>
            </w:tcBorders>
            <w:shd w:val="clear" w:color="000000" w:fill="FFF2CC"/>
            <w:noWrap/>
            <w:vAlign w:val="center"/>
            <w:hideMark/>
          </w:tcPr>
          <w:p w14:paraId="06CE4EAF" w14:textId="7FB17F30" w:rsidR="00FA6973" w:rsidRPr="00EB66AE" w:rsidRDefault="00413CE7" w:rsidP="00D561B2">
            <w:pPr>
              <w:spacing w:after="0" w:line="240" w:lineRule="auto"/>
              <w:jc w:val="center"/>
              <w:rPr>
                <w:rFonts w:ascii="Calibri" w:eastAsia="Times New Roman" w:hAnsi="Calibri" w:cs="Calibri"/>
              </w:rPr>
            </w:pPr>
            <w:r w:rsidRPr="00EB66AE">
              <w:rPr>
                <w:rFonts w:ascii="Calibri" w:eastAsia="Times New Roman" w:hAnsi="Calibri" w:cs="Calibri"/>
              </w:rPr>
              <w:t>1.4</w:t>
            </w:r>
          </w:p>
        </w:tc>
        <w:tc>
          <w:tcPr>
            <w:tcW w:w="963" w:type="dxa"/>
            <w:tcBorders>
              <w:top w:val="nil"/>
              <w:left w:val="nil"/>
              <w:bottom w:val="single" w:sz="4" w:space="0" w:color="auto"/>
              <w:right w:val="single" w:sz="4" w:space="0" w:color="auto"/>
            </w:tcBorders>
            <w:shd w:val="clear" w:color="000000" w:fill="FFF2CC"/>
            <w:noWrap/>
            <w:vAlign w:val="center"/>
            <w:hideMark/>
          </w:tcPr>
          <w:p w14:paraId="33AD5602" w14:textId="5769505E" w:rsidR="00FA6973" w:rsidRPr="00EB66AE" w:rsidRDefault="00413CE7" w:rsidP="00D561B2">
            <w:pPr>
              <w:spacing w:after="0" w:line="240" w:lineRule="auto"/>
              <w:jc w:val="center"/>
              <w:rPr>
                <w:rFonts w:ascii="Calibri" w:eastAsia="Times New Roman" w:hAnsi="Calibri" w:cs="Calibri"/>
              </w:rPr>
            </w:pPr>
            <w:r w:rsidRPr="00EB66AE">
              <w:rPr>
                <w:rFonts w:ascii="Calibri" w:eastAsia="Times New Roman" w:hAnsi="Calibri" w:cs="Calibri"/>
              </w:rPr>
              <w:t>1.3</w:t>
            </w:r>
          </w:p>
        </w:tc>
      </w:tr>
      <w:tr w:rsidR="00FA6973" w:rsidRPr="00D561B2" w14:paraId="4A0FDE4D" w14:textId="77777777" w:rsidTr="00815161">
        <w:trPr>
          <w:trHeight w:val="288"/>
          <w:jc w:val="center"/>
        </w:trPr>
        <w:tc>
          <w:tcPr>
            <w:tcW w:w="3620" w:type="dxa"/>
            <w:tcBorders>
              <w:top w:val="nil"/>
              <w:left w:val="single" w:sz="4" w:space="0" w:color="auto"/>
              <w:bottom w:val="single" w:sz="4" w:space="0" w:color="auto"/>
              <w:right w:val="single" w:sz="4" w:space="0" w:color="auto"/>
            </w:tcBorders>
            <w:shd w:val="clear" w:color="000000" w:fill="FFFFFF"/>
            <w:noWrap/>
            <w:vAlign w:val="center"/>
            <w:hideMark/>
          </w:tcPr>
          <w:p w14:paraId="16A8716C" w14:textId="77777777" w:rsidR="00FA6973" w:rsidRPr="00F22649" w:rsidRDefault="00FA6973" w:rsidP="00D561B2">
            <w:pPr>
              <w:spacing w:after="0" w:line="240" w:lineRule="auto"/>
              <w:jc w:val="center"/>
              <w:rPr>
                <w:rFonts w:ascii="Calibri" w:eastAsia="Times New Roman" w:hAnsi="Calibri" w:cs="Calibri"/>
                <w:color w:val="000000"/>
              </w:rPr>
            </w:pPr>
            <w:r w:rsidRPr="00F22649">
              <w:rPr>
                <w:rFonts w:ascii="Calibri" w:eastAsia="Times New Roman" w:hAnsi="Calibri" w:cs="Calibri"/>
                <w:color w:val="000000"/>
              </w:rPr>
              <w:t>Shadow fading margin (SF) [dB]</w:t>
            </w:r>
          </w:p>
        </w:tc>
        <w:tc>
          <w:tcPr>
            <w:tcW w:w="1280" w:type="dxa"/>
            <w:tcBorders>
              <w:top w:val="nil"/>
              <w:left w:val="nil"/>
              <w:bottom w:val="single" w:sz="4" w:space="0" w:color="auto"/>
              <w:right w:val="single" w:sz="4" w:space="0" w:color="auto"/>
            </w:tcBorders>
            <w:shd w:val="clear" w:color="000000" w:fill="FCE4D6"/>
            <w:noWrap/>
            <w:vAlign w:val="center"/>
            <w:hideMark/>
          </w:tcPr>
          <w:p w14:paraId="5EE6B35E" w14:textId="77777777" w:rsidR="00FA6973" w:rsidRPr="00EB66AE" w:rsidRDefault="00FA6973" w:rsidP="00D561B2">
            <w:pPr>
              <w:spacing w:after="0" w:line="240" w:lineRule="auto"/>
              <w:jc w:val="center"/>
              <w:rPr>
                <w:rFonts w:ascii="Calibri" w:eastAsia="Times New Roman" w:hAnsi="Calibri" w:cs="Calibri"/>
              </w:rPr>
            </w:pPr>
            <w:r w:rsidRPr="00EB66AE">
              <w:rPr>
                <w:rFonts w:ascii="Calibri" w:eastAsia="Times New Roman" w:hAnsi="Calibri" w:cs="Calibri"/>
              </w:rPr>
              <w:t>3</w:t>
            </w:r>
          </w:p>
        </w:tc>
        <w:tc>
          <w:tcPr>
            <w:tcW w:w="1300" w:type="dxa"/>
            <w:tcBorders>
              <w:top w:val="nil"/>
              <w:left w:val="nil"/>
              <w:bottom w:val="single" w:sz="4" w:space="0" w:color="auto"/>
              <w:right w:val="single" w:sz="4" w:space="0" w:color="auto"/>
            </w:tcBorders>
            <w:shd w:val="clear" w:color="000000" w:fill="FCE4D6"/>
            <w:noWrap/>
            <w:vAlign w:val="center"/>
            <w:hideMark/>
          </w:tcPr>
          <w:p w14:paraId="537C0B98" w14:textId="77777777" w:rsidR="00FA6973" w:rsidRPr="00EB66AE" w:rsidRDefault="00FA6973" w:rsidP="00D561B2">
            <w:pPr>
              <w:spacing w:after="0" w:line="240" w:lineRule="auto"/>
              <w:jc w:val="center"/>
              <w:rPr>
                <w:rFonts w:ascii="Calibri" w:eastAsia="Times New Roman" w:hAnsi="Calibri" w:cs="Calibri"/>
              </w:rPr>
            </w:pPr>
            <w:r w:rsidRPr="00EB66AE">
              <w:rPr>
                <w:rFonts w:ascii="Calibri" w:eastAsia="Times New Roman" w:hAnsi="Calibri" w:cs="Calibri"/>
              </w:rPr>
              <w:t>3</w:t>
            </w:r>
          </w:p>
        </w:tc>
        <w:tc>
          <w:tcPr>
            <w:tcW w:w="957" w:type="dxa"/>
            <w:tcBorders>
              <w:top w:val="nil"/>
              <w:left w:val="nil"/>
              <w:bottom w:val="single" w:sz="4" w:space="0" w:color="auto"/>
              <w:right w:val="single" w:sz="4" w:space="0" w:color="auto"/>
            </w:tcBorders>
            <w:shd w:val="clear" w:color="000000" w:fill="FFF2CC"/>
            <w:noWrap/>
            <w:vAlign w:val="bottom"/>
            <w:hideMark/>
          </w:tcPr>
          <w:p w14:paraId="58D59604" w14:textId="77777777" w:rsidR="00FA6973" w:rsidRPr="00EB66AE" w:rsidRDefault="00FA6973" w:rsidP="00D561B2">
            <w:pPr>
              <w:spacing w:after="0" w:line="240" w:lineRule="auto"/>
              <w:jc w:val="center"/>
              <w:rPr>
                <w:rFonts w:ascii="Calibri" w:eastAsia="Times New Roman" w:hAnsi="Calibri" w:cs="Calibri"/>
              </w:rPr>
            </w:pPr>
            <w:r w:rsidRPr="00EB66AE">
              <w:rPr>
                <w:rFonts w:ascii="Calibri" w:eastAsia="Times New Roman" w:hAnsi="Calibri" w:cs="Calibri"/>
              </w:rPr>
              <w:t>0</w:t>
            </w:r>
          </w:p>
        </w:tc>
        <w:tc>
          <w:tcPr>
            <w:tcW w:w="963" w:type="dxa"/>
            <w:tcBorders>
              <w:top w:val="nil"/>
              <w:left w:val="nil"/>
              <w:bottom w:val="single" w:sz="4" w:space="0" w:color="auto"/>
              <w:right w:val="single" w:sz="4" w:space="0" w:color="auto"/>
            </w:tcBorders>
            <w:shd w:val="clear" w:color="000000" w:fill="FFF2CC"/>
            <w:noWrap/>
            <w:vAlign w:val="bottom"/>
            <w:hideMark/>
          </w:tcPr>
          <w:p w14:paraId="14E90274" w14:textId="77777777" w:rsidR="00FA6973" w:rsidRPr="00EB66AE" w:rsidRDefault="00FA6973" w:rsidP="00D561B2">
            <w:pPr>
              <w:spacing w:after="0" w:line="240" w:lineRule="auto"/>
              <w:jc w:val="center"/>
              <w:rPr>
                <w:rFonts w:ascii="Calibri" w:eastAsia="Times New Roman" w:hAnsi="Calibri" w:cs="Calibri"/>
              </w:rPr>
            </w:pPr>
            <w:r w:rsidRPr="00EB66AE">
              <w:rPr>
                <w:rFonts w:ascii="Calibri" w:eastAsia="Times New Roman" w:hAnsi="Calibri" w:cs="Calibri"/>
              </w:rPr>
              <w:t>0</w:t>
            </w:r>
          </w:p>
        </w:tc>
      </w:tr>
      <w:tr w:rsidR="00FA6973" w:rsidRPr="00D561B2" w14:paraId="5037972A" w14:textId="77777777" w:rsidTr="00815161">
        <w:trPr>
          <w:trHeight w:val="288"/>
          <w:jc w:val="center"/>
        </w:trPr>
        <w:tc>
          <w:tcPr>
            <w:tcW w:w="3620" w:type="dxa"/>
            <w:tcBorders>
              <w:top w:val="nil"/>
              <w:left w:val="single" w:sz="4" w:space="0" w:color="auto"/>
              <w:bottom w:val="single" w:sz="4" w:space="0" w:color="auto"/>
              <w:right w:val="single" w:sz="4" w:space="0" w:color="auto"/>
            </w:tcBorders>
            <w:shd w:val="clear" w:color="000000" w:fill="FFFFFF"/>
            <w:noWrap/>
            <w:vAlign w:val="center"/>
            <w:hideMark/>
          </w:tcPr>
          <w:p w14:paraId="5DD018B9" w14:textId="77777777" w:rsidR="00FA6973" w:rsidRPr="00D561B2" w:rsidRDefault="00FA6973" w:rsidP="00D561B2">
            <w:pPr>
              <w:spacing w:after="0" w:line="240" w:lineRule="auto"/>
              <w:jc w:val="center"/>
              <w:rPr>
                <w:rFonts w:ascii="Calibri" w:eastAsia="Times New Roman" w:hAnsi="Calibri" w:cs="Calibri"/>
                <w:color w:val="000000"/>
              </w:rPr>
            </w:pPr>
            <w:r w:rsidRPr="00D561B2">
              <w:rPr>
                <w:rFonts w:ascii="Calibri" w:eastAsia="Times New Roman" w:hAnsi="Calibri" w:cs="Calibri"/>
                <w:color w:val="000000"/>
              </w:rPr>
              <w:t>Polarization loss [dB]</w:t>
            </w:r>
          </w:p>
        </w:tc>
        <w:tc>
          <w:tcPr>
            <w:tcW w:w="1280" w:type="dxa"/>
            <w:tcBorders>
              <w:top w:val="nil"/>
              <w:left w:val="nil"/>
              <w:bottom w:val="single" w:sz="4" w:space="0" w:color="auto"/>
              <w:right w:val="single" w:sz="4" w:space="0" w:color="auto"/>
            </w:tcBorders>
            <w:shd w:val="clear" w:color="000000" w:fill="FCE4D6"/>
            <w:noWrap/>
            <w:vAlign w:val="center"/>
            <w:hideMark/>
          </w:tcPr>
          <w:p w14:paraId="19AA4504" w14:textId="77777777" w:rsidR="00FA6973" w:rsidRPr="00EB66AE" w:rsidRDefault="00FA6973" w:rsidP="00D561B2">
            <w:pPr>
              <w:spacing w:after="0" w:line="240" w:lineRule="auto"/>
              <w:jc w:val="center"/>
              <w:rPr>
                <w:rFonts w:ascii="Calibri" w:eastAsia="Times New Roman" w:hAnsi="Calibri" w:cs="Calibri"/>
              </w:rPr>
            </w:pPr>
            <w:r w:rsidRPr="00EB66AE">
              <w:rPr>
                <w:rFonts w:ascii="Calibri" w:eastAsia="Times New Roman" w:hAnsi="Calibri" w:cs="Calibri"/>
              </w:rPr>
              <w:t>0</w:t>
            </w:r>
          </w:p>
        </w:tc>
        <w:tc>
          <w:tcPr>
            <w:tcW w:w="1300" w:type="dxa"/>
            <w:tcBorders>
              <w:top w:val="nil"/>
              <w:left w:val="nil"/>
              <w:bottom w:val="single" w:sz="4" w:space="0" w:color="auto"/>
              <w:right w:val="single" w:sz="4" w:space="0" w:color="auto"/>
            </w:tcBorders>
            <w:shd w:val="clear" w:color="000000" w:fill="FCE4D6"/>
            <w:noWrap/>
            <w:vAlign w:val="center"/>
            <w:hideMark/>
          </w:tcPr>
          <w:p w14:paraId="34266BF1" w14:textId="77777777" w:rsidR="00FA6973" w:rsidRPr="00EB66AE" w:rsidRDefault="00FA6973" w:rsidP="00D561B2">
            <w:pPr>
              <w:spacing w:after="0" w:line="240" w:lineRule="auto"/>
              <w:jc w:val="center"/>
              <w:rPr>
                <w:rFonts w:ascii="Calibri" w:eastAsia="Times New Roman" w:hAnsi="Calibri" w:cs="Calibri"/>
              </w:rPr>
            </w:pPr>
            <w:r w:rsidRPr="00EB66AE">
              <w:rPr>
                <w:rFonts w:ascii="Calibri" w:eastAsia="Times New Roman" w:hAnsi="Calibri" w:cs="Calibri"/>
              </w:rPr>
              <w:t>0</w:t>
            </w:r>
          </w:p>
        </w:tc>
        <w:tc>
          <w:tcPr>
            <w:tcW w:w="957" w:type="dxa"/>
            <w:tcBorders>
              <w:top w:val="nil"/>
              <w:left w:val="nil"/>
              <w:bottom w:val="single" w:sz="4" w:space="0" w:color="auto"/>
              <w:right w:val="single" w:sz="4" w:space="0" w:color="auto"/>
            </w:tcBorders>
            <w:shd w:val="clear" w:color="000000" w:fill="FFF2CC"/>
            <w:noWrap/>
            <w:vAlign w:val="bottom"/>
            <w:hideMark/>
          </w:tcPr>
          <w:p w14:paraId="4107CCF3" w14:textId="77777777" w:rsidR="00FA6973" w:rsidRPr="00EB66AE" w:rsidRDefault="00FA6973" w:rsidP="00D561B2">
            <w:pPr>
              <w:spacing w:after="0" w:line="240" w:lineRule="auto"/>
              <w:jc w:val="center"/>
              <w:rPr>
                <w:rFonts w:ascii="Calibri" w:eastAsia="Times New Roman" w:hAnsi="Calibri" w:cs="Calibri"/>
              </w:rPr>
            </w:pPr>
            <w:r w:rsidRPr="00EB66AE">
              <w:rPr>
                <w:rFonts w:ascii="Calibri" w:eastAsia="Times New Roman" w:hAnsi="Calibri" w:cs="Calibri"/>
              </w:rPr>
              <w:t>0</w:t>
            </w:r>
          </w:p>
        </w:tc>
        <w:tc>
          <w:tcPr>
            <w:tcW w:w="963" w:type="dxa"/>
            <w:tcBorders>
              <w:top w:val="nil"/>
              <w:left w:val="nil"/>
              <w:bottom w:val="single" w:sz="4" w:space="0" w:color="auto"/>
              <w:right w:val="single" w:sz="4" w:space="0" w:color="auto"/>
            </w:tcBorders>
            <w:shd w:val="clear" w:color="000000" w:fill="FFF2CC"/>
            <w:noWrap/>
            <w:vAlign w:val="bottom"/>
            <w:hideMark/>
          </w:tcPr>
          <w:p w14:paraId="634E5C4B" w14:textId="77777777" w:rsidR="00FA6973" w:rsidRPr="00EB66AE" w:rsidRDefault="00FA6973" w:rsidP="00D561B2">
            <w:pPr>
              <w:spacing w:after="0" w:line="240" w:lineRule="auto"/>
              <w:jc w:val="center"/>
              <w:rPr>
                <w:rFonts w:ascii="Calibri" w:eastAsia="Times New Roman" w:hAnsi="Calibri" w:cs="Calibri"/>
              </w:rPr>
            </w:pPr>
            <w:r w:rsidRPr="00EB66AE">
              <w:rPr>
                <w:rFonts w:ascii="Calibri" w:eastAsia="Times New Roman" w:hAnsi="Calibri" w:cs="Calibri"/>
              </w:rPr>
              <w:t>0</w:t>
            </w:r>
          </w:p>
        </w:tc>
      </w:tr>
      <w:tr w:rsidR="00FA6973" w:rsidRPr="00D561B2" w14:paraId="447C715B" w14:textId="77777777" w:rsidTr="00815161">
        <w:trPr>
          <w:trHeight w:val="288"/>
          <w:jc w:val="center"/>
        </w:trPr>
        <w:tc>
          <w:tcPr>
            <w:tcW w:w="3620" w:type="dxa"/>
            <w:tcBorders>
              <w:top w:val="nil"/>
              <w:left w:val="single" w:sz="4" w:space="0" w:color="auto"/>
              <w:bottom w:val="single" w:sz="4" w:space="0" w:color="auto"/>
              <w:right w:val="single" w:sz="4" w:space="0" w:color="auto"/>
            </w:tcBorders>
            <w:shd w:val="clear" w:color="000000" w:fill="FFFFFF"/>
            <w:noWrap/>
            <w:vAlign w:val="center"/>
            <w:hideMark/>
          </w:tcPr>
          <w:p w14:paraId="7FAF1200" w14:textId="77777777" w:rsidR="00FA6973" w:rsidRPr="00D561B2" w:rsidRDefault="00FA6973" w:rsidP="00D561B2">
            <w:pPr>
              <w:spacing w:after="0" w:line="240" w:lineRule="auto"/>
              <w:jc w:val="center"/>
              <w:rPr>
                <w:rFonts w:ascii="Calibri" w:eastAsia="Times New Roman" w:hAnsi="Calibri" w:cs="Calibri"/>
                <w:color w:val="000000"/>
              </w:rPr>
            </w:pPr>
            <w:r w:rsidRPr="00D561B2">
              <w:rPr>
                <w:rFonts w:ascii="Calibri" w:eastAsia="Times New Roman" w:hAnsi="Calibri" w:cs="Calibri"/>
                <w:color w:val="000000"/>
              </w:rPr>
              <w:t>Additional losses (AD) [dB]</w:t>
            </w:r>
          </w:p>
        </w:tc>
        <w:tc>
          <w:tcPr>
            <w:tcW w:w="1280" w:type="dxa"/>
            <w:tcBorders>
              <w:top w:val="nil"/>
              <w:left w:val="nil"/>
              <w:bottom w:val="single" w:sz="4" w:space="0" w:color="auto"/>
              <w:right w:val="single" w:sz="4" w:space="0" w:color="auto"/>
            </w:tcBorders>
            <w:shd w:val="clear" w:color="000000" w:fill="FCE4D6"/>
            <w:noWrap/>
            <w:vAlign w:val="center"/>
            <w:hideMark/>
          </w:tcPr>
          <w:p w14:paraId="6188847E" w14:textId="77777777" w:rsidR="00FA6973" w:rsidRPr="00EB66AE" w:rsidRDefault="00FA6973" w:rsidP="00D561B2">
            <w:pPr>
              <w:spacing w:after="0" w:line="240" w:lineRule="auto"/>
              <w:jc w:val="center"/>
              <w:rPr>
                <w:rFonts w:ascii="Calibri" w:eastAsia="Times New Roman" w:hAnsi="Calibri" w:cs="Calibri"/>
              </w:rPr>
            </w:pPr>
            <w:r w:rsidRPr="00EB66AE">
              <w:rPr>
                <w:rFonts w:ascii="Calibri" w:eastAsia="Times New Roman" w:hAnsi="Calibri" w:cs="Calibri"/>
              </w:rPr>
              <w:t>0</w:t>
            </w:r>
          </w:p>
        </w:tc>
        <w:tc>
          <w:tcPr>
            <w:tcW w:w="1300" w:type="dxa"/>
            <w:tcBorders>
              <w:top w:val="nil"/>
              <w:left w:val="nil"/>
              <w:bottom w:val="single" w:sz="4" w:space="0" w:color="auto"/>
              <w:right w:val="single" w:sz="4" w:space="0" w:color="auto"/>
            </w:tcBorders>
            <w:shd w:val="clear" w:color="000000" w:fill="FCE4D6"/>
            <w:noWrap/>
            <w:vAlign w:val="center"/>
            <w:hideMark/>
          </w:tcPr>
          <w:p w14:paraId="4D4FCD0F" w14:textId="77777777" w:rsidR="00FA6973" w:rsidRPr="00EB66AE" w:rsidRDefault="00FA6973" w:rsidP="00D561B2">
            <w:pPr>
              <w:spacing w:after="0" w:line="240" w:lineRule="auto"/>
              <w:jc w:val="center"/>
              <w:rPr>
                <w:rFonts w:ascii="Calibri" w:eastAsia="Times New Roman" w:hAnsi="Calibri" w:cs="Calibri"/>
              </w:rPr>
            </w:pPr>
            <w:r w:rsidRPr="00EB66AE">
              <w:rPr>
                <w:rFonts w:ascii="Calibri" w:eastAsia="Times New Roman" w:hAnsi="Calibri" w:cs="Calibri"/>
              </w:rPr>
              <w:t>0</w:t>
            </w:r>
          </w:p>
        </w:tc>
        <w:tc>
          <w:tcPr>
            <w:tcW w:w="957" w:type="dxa"/>
            <w:tcBorders>
              <w:top w:val="nil"/>
              <w:left w:val="nil"/>
              <w:bottom w:val="single" w:sz="4" w:space="0" w:color="auto"/>
              <w:right w:val="single" w:sz="4" w:space="0" w:color="auto"/>
            </w:tcBorders>
            <w:shd w:val="clear" w:color="000000" w:fill="FFF2CC"/>
            <w:noWrap/>
            <w:vAlign w:val="bottom"/>
            <w:hideMark/>
          </w:tcPr>
          <w:p w14:paraId="097A98E3" w14:textId="77777777" w:rsidR="00FA6973" w:rsidRPr="00EB66AE" w:rsidRDefault="00FA6973" w:rsidP="00D561B2">
            <w:pPr>
              <w:spacing w:after="0" w:line="240" w:lineRule="auto"/>
              <w:jc w:val="center"/>
              <w:rPr>
                <w:rFonts w:ascii="Calibri" w:eastAsia="Times New Roman" w:hAnsi="Calibri" w:cs="Calibri"/>
              </w:rPr>
            </w:pPr>
            <w:r w:rsidRPr="00EB66AE">
              <w:rPr>
                <w:rFonts w:ascii="Calibri" w:eastAsia="Times New Roman" w:hAnsi="Calibri" w:cs="Calibri"/>
              </w:rPr>
              <w:t>0</w:t>
            </w:r>
          </w:p>
        </w:tc>
        <w:tc>
          <w:tcPr>
            <w:tcW w:w="963" w:type="dxa"/>
            <w:tcBorders>
              <w:top w:val="nil"/>
              <w:left w:val="nil"/>
              <w:bottom w:val="single" w:sz="4" w:space="0" w:color="auto"/>
              <w:right w:val="single" w:sz="4" w:space="0" w:color="auto"/>
            </w:tcBorders>
            <w:shd w:val="clear" w:color="000000" w:fill="FFF2CC"/>
            <w:noWrap/>
            <w:vAlign w:val="bottom"/>
            <w:hideMark/>
          </w:tcPr>
          <w:p w14:paraId="3F47E72D" w14:textId="77777777" w:rsidR="00FA6973" w:rsidRPr="00EB66AE" w:rsidRDefault="00FA6973" w:rsidP="00D561B2">
            <w:pPr>
              <w:spacing w:after="0" w:line="240" w:lineRule="auto"/>
              <w:jc w:val="center"/>
              <w:rPr>
                <w:rFonts w:ascii="Calibri" w:eastAsia="Times New Roman" w:hAnsi="Calibri" w:cs="Calibri"/>
              </w:rPr>
            </w:pPr>
            <w:r w:rsidRPr="00EB66AE">
              <w:rPr>
                <w:rFonts w:ascii="Calibri" w:eastAsia="Times New Roman" w:hAnsi="Calibri" w:cs="Calibri"/>
              </w:rPr>
              <w:t>0</w:t>
            </w:r>
          </w:p>
        </w:tc>
      </w:tr>
      <w:tr w:rsidR="00FA6973" w:rsidRPr="00D561B2" w14:paraId="0B08CE87" w14:textId="77777777" w:rsidTr="00815161">
        <w:trPr>
          <w:trHeight w:val="288"/>
          <w:jc w:val="center"/>
        </w:trPr>
        <w:tc>
          <w:tcPr>
            <w:tcW w:w="3620" w:type="dxa"/>
            <w:tcBorders>
              <w:top w:val="nil"/>
              <w:left w:val="single" w:sz="4" w:space="0" w:color="auto"/>
              <w:bottom w:val="single" w:sz="4" w:space="0" w:color="auto"/>
              <w:right w:val="single" w:sz="4" w:space="0" w:color="auto"/>
            </w:tcBorders>
            <w:shd w:val="clear" w:color="000000" w:fill="FFFFFF"/>
            <w:noWrap/>
            <w:vAlign w:val="center"/>
            <w:hideMark/>
          </w:tcPr>
          <w:p w14:paraId="751578E3" w14:textId="77777777" w:rsidR="00FA6973" w:rsidRPr="00D561B2" w:rsidRDefault="00FA6973" w:rsidP="00D561B2">
            <w:pPr>
              <w:spacing w:after="0" w:line="240" w:lineRule="auto"/>
              <w:jc w:val="center"/>
              <w:rPr>
                <w:rFonts w:ascii="Calibri" w:eastAsia="Times New Roman" w:hAnsi="Calibri" w:cs="Calibri"/>
                <w:color w:val="000000"/>
              </w:rPr>
            </w:pPr>
            <w:r w:rsidRPr="00D561B2">
              <w:rPr>
                <w:rFonts w:ascii="Calibri" w:eastAsia="Times New Roman" w:hAnsi="Calibri" w:cs="Calibri"/>
                <w:color w:val="000000"/>
              </w:rPr>
              <w:t>Target SNR [dB]</w:t>
            </w:r>
          </w:p>
        </w:tc>
        <w:tc>
          <w:tcPr>
            <w:tcW w:w="1280" w:type="dxa"/>
            <w:tcBorders>
              <w:top w:val="nil"/>
              <w:left w:val="nil"/>
              <w:bottom w:val="single" w:sz="4" w:space="0" w:color="auto"/>
              <w:right w:val="single" w:sz="4" w:space="0" w:color="auto"/>
            </w:tcBorders>
            <w:shd w:val="clear" w:color="000000" w:fill="FCE4D6"/>
            <w:noWrap/>
            <w:vAlign w:val="center"/>
            <w:hideMark/>
          </w:tcPr>
          <w:p w14:paraId="773E5EEF" w14:textId="7E3D10C5" w:rsidR="00FA6973" w:rsidRPr="00EB66AE" w:rsidRDefault="00FA6973" w:rsidP="00D561B2">
            <w:pPr>
              <w:spacing w:after="0" w:line="240" w:lineRule="auto"/>
              <w:jc w:val="center"/>
              <w:rPr>
                <w:rFonts w:ascii="Calibri" w:eastAsia="Times New Roman" w:hAnsi="Calibri" w:cs="Calibri"/>
                <w:b/>
                <w:bCs/>
              </w:rPr>
            </w:pPr>
            <w:r w:rsidRPr="00EB66AE">
              <w:rPr>
                <w:rFonts w:ascii="Calibri" w:eastAsia="Times New Roman" w:hAnsi="Calibri" w:cs="Calibri"/>
                <w:b/>
                <w:bCs/>
              </w:rPr>
              <w:t>2.</w:t>
            </w:r>
            <w:r w:rsidR="00632827" w:rsidRPr="00EB66AE">
              <w:rPr>
                <w:rFonts w:ascii="Calibri" w:eastAsia="Times New Roman" w:hAnsi="Calibri" w:cs="Calibri"/>
                <w:b/>
                <w:bCs/>
              </w:rPr>
              <w:t>2</w:t>
            </w:r>
          </w:p>
        </w:tc>
        <w:tc>
          <w:tcPr>
            <w:tcW w:w="1300" w:type="dxa"/>
            <w:tcBorders>
              <w:top w:val="nil"/>
              <w:left w:val="nil"/>
              <w:bottom w:val="single" w:sz="4" w:space="0" w:color="auto"/>
              <w:right w:val="single" w:sz="4" w:space="0" w:color="auto"/>
            </w:tcBorders>
            <w:shd w:val="clear" w:color="000000" w:fill="FCE4D6"/>
            <w:noWrap/>
            <w:vAlign w:val="center"/>
            <w:hideMark/>
          </w:tcPr>
          <w:p w14:paraId="2ECCDE9A" w14:textId="07B9419E" w:rsidR="00FA6973" w:rsidRPr="00EB66AE" w:rsidRDefault="00FA6973" w:rsidP="00D561B2">
            <w:pPr>
              <w:spacing w:after="0" w:line="240" w:lineRule="auto"/>
              <w:jc w:val="center"/>
              <w:rPr>
                <w:rFonts w:ascii="Calibri" w:eastAsia="Times New Roman" w:hAnsi="Calibri" w:cs="Calibri"/>
                <w:b/>
                <w:bCs/>
              </w:rPr>
            </w:pPr>
            <w:r w:rsidRPr="00EB66AE">
              <w:rPr>
                <w:rFonts w:ascii="Calibri" w:eastAsia="Times New Roman" w:hAnsi="Calibri" w:cs="Calibri"/>
                <w:b/>
                <w:bCs/>
              </w:rPr>
              <w:t>-5.</w:t>
            </w:r>
            <w:r w:rsidR="00632827" w:rsidRPr="00EB66AE">
              <w:rPr>
                <w:rFonts w:ascii="Calibri" w:eastAsia="Times New Roman" w:hAnsi="Calibri" w:cs="Calibri"/>
                <w:b/>
                <w:bCs/>
              </w:rPr>
              <w:t>8</w:t>
            </w:r>
          </w:p>
        </w:tc>
        <w:tc>
          <w:tcPr>
            <w:tcW w:w="957" w:type="dxa"/>
            <w:tcBorders>
              <w:top w:val="nil"/>
              <w:left w:val="nil"/>
              <w:bottom w:val="single" w:sz="4" w:space="0" w:color="auto"/>
              <w:right w:val="single" w:sz="4" w:space="0" w:color="auto"/>
            </w:tcBorders>
            <w:shd w:val="clear" w:color="000000" w:fill="FFF2CC"/>
            <w:noWrap/>
            <w:vAlign w:val="center"/>
            <w:hideMark/>
          </w:tcPr>
          <w:p w14:paraId="04848374" w14:textId="6916FB2D" w:rsidR="00FA6973" w:rsidRPr="00EB66AE" w:rsidRDefault="00413CE7" w:rsidP="00D561B2">
            <w:pPr>
              <w:spacing w:after="0" w:line="240" w:lineRule="auto"/>
              <w:jc w:val="center"/>
              <w:rPr>
                <w:rFonts w:ascii="Calibri" w:eastAsia="Times New Roman" w:hAnsi="Calibri" w:cs="Calibri"/>
                <w:b/>
                <w:bCs/>
              </w:rPr>
            </w:pPr>
            <w:r w:rsidRPr="00EB66AE">
              <w:rPr>
                <w:rFonts w:ascii="Calibri" w:eastAsia="Times New Roman" w:hAnsi="Calibri" w:cs="Calibri"/>
                <w:b/>
                <w:bCs/>
              </w:rPr>
              <w:t>12.4</w:t>
            </w:r>
          </w:p>
        </w:tc>
        <w:tc>
          <w:tcPr>
            <w:tcW w:w="963" w:type="dxa"/>
            <w:tcBorders>
              <w:top w:val="nil"/>
              <w:left w:val="nil"/>
              <w:bottom w:val="single" w:sz="4" w:space="0" w:color="auto"/>
              <w:right w:val="single" w:sz="4" w:space="0" w:color="auto"/>
            </w:tcBorders>
            <w:shd w:val="clear" w:color="000000" w:fill="FFF2CC"/>
            <w:noWrap/>
            <w:vAlign w:val="center"/>
            <w:hideMark/>
          </w:tcPr>
          <w:p w14:paraId="6AB3B3E2" w14:textId="31AED0B4" w:rsidR="00FA6973" w:rsidRPr="00EB66AE" w:rsidRDefault="00413CE7" w:rsidP="00D561B2">
            <w:pPr>
              <w:spacing w:after="0" w:line="240" w:lineRule="auto"/>
              <w:jc w:val="center"/>
              <w:rPr>
                <w:rFonts w:ascii="Calibri" w:eastAsia="Times New Roman" w:hAnsi="Calibri" w:cs="Calibri"/>
                <w:b/>
                <w:bCs/>
              </w:rPr>
            </w:pPr>
            <w:r w:rsidRPr="00EB66AE">
              <w:rPr>
                <w:rFonts w:ascii="Calibri" w:eastAsia="Times New Roman" w:hAnsi="Calibri" w:cs="Calibri"/>
                <w:b/>
                <w:bCs/>
              </w:rPr>
              <w:t>1.4</w:t>
            </w:r>
          </w:p>
        </w:tc>
      </w:tr>
    </w:tbl>
    <w:p w14:paraId="4FFED98C" w14:textId="44F6293B" w:rsidR="005262DC" w:rsidRPr="00EB66AE" w:rsidRDefault="005262DC" w:rsidP="00FA6973">
      <w:pPr>
        <w:pStyle w:val="Caption"/>
        <w:jc w:val="center"/>
        <w:rPr>
          <w:rFonts w:ascii="Arial" w:hAnsi="Arial" w:cs="Arial"/>
          <w:sz w:val="20"/>
        </w:rPr>
      </w:pPr>
      <w:bookmarkStart w:id="20" w:name="_Ref14163961"/>
      <w:r w:rsidRPr="00EB66AE">
        <w:rPr>
          <w:rFonts w:ascii="Arial" w:hAnsi="Arial" w:cs="Arial"/>
          <w:sz w:val="20"/>
        </w:rPr>
        <w:t xml:space="preserve">Table </w:t>
      </w:r>
      <w:r w:rsidR="00D16E23" w:rsidRPr="00EB66AE">
        <w:rPr>
          <w:rFonts w:ascii="Arial" w:hAnsi="Arial" w:cs="Arial"/>
          <w:sz w:val="20"/>
        </w:rPr>
        <w:fldChar w:fldCharType="begin"/>
      </w:r>
      <w:r w:rsidR="00D16E23" w:rsidRPr="00EB66AE">
        <w:rPr>
          <w:rFonts w:ascii="Arial" w:hAnsi="Arial" w:cs="Arial"/>
          <w:sz w:val="20"/>
        </w:rPr>
        <w:instrText xml:space="preserve"> SEQ Table \* ARABIC </w:instrText>
      </w:r>
      <w:r w:rsidR="00D16E23" w:rsidRPr="00EB66AE">
        <w:rPr>
          <w:rFonts w:ascii="Arial" w:hAnsi="Arial" w:cs="Arial"/>
          <w:sz w:val="20"/>
        </w:rPr>
        <w:fldChar w:fldCharType="separate"/>
      </w:r>
      <w:r w:rsidR="00A34377">
        <w:rPr>
          <w:rFonts w:ascii="Arial" w:hAnsi="Arial" w:cs="Arial"/>
          <w:noProof/>
          <w:sz w:val="20"/>
        </w:rPr>
        <w:t>1</w:t>
      </w:r>
      <w:r w:rsidR="00D16E23" w:rsidRPr="00EB66AE">
        <w:rPr>
          <w:rFonts w:ascii="Arial" w:hAnsi="Arial" w:cs="Arial"/>
          <w:noProof/>
          <w:sz w:val="20"/>
        </w:rPr>
        <w:fldChar w:fldCharType="end"/>
      </w:r>
      <w:bookmarkEnd w:id="20"/>
      <w:r w:rsidRPr="00EB66AE">
        <w:rPr>
          <w:rFonts w:ascii="Arial" w:hAnsi="Arial" w:cs="Arial"/>
          <w:sz w:val="20"/>
        </w:rPr>
        <w:t>: GEO link budget calculation</w:t>
      </w:r>
      <w:r w:rsidR="0062014D">
        <w:rPr>
          <w:rFonts w:ascii="Arial" w:hAnsi="Arial" w:cs="Arial"/>
          <w:sz w:val="20"/>
        </w:rPr>
        <w:t xml:space="preserve"> for 10 degree elevation angle</w:t>
      </w:r>
      <w:r w:rsidR="00587171" w:rsidRPr="00EB66AE">
        <w:rPr>
          <w:rFonts w:ascii="Arial" w:hAnsi="Arial" w:cs="Arial"/>
          <w:sz w:val="20"/>
        </w:rPr>
        <w:t>: Set-1 satellite parameters</w:t>
      </w:r>
    </w:p>
    <w:p w14:paraId="43ADCAC0" w14:textId="33FA2F9B" w:rsidR="00170328" w:rsidRPr="00EB66AE" w:rsidRDefault="00170328" w:rsidP="00EB66AE">
      <w:pPr>
        <w:pStyle w:val="Proposal"/>
        <w:rPr>
          <w:sz w:val="20"/>
          <w:szCs w:val="20"/>
        </w:rPr>
      </w:pPr>
      <w:bookmarkStart w:id="21" w:name="_Toc16839635"/>
      <w:r w:rsidRPr="00F22649">
        <w:rPr>
          <w:sz w:val="20"/>
          <w:szCs w:val="20"/>
        </w:rPr>
        <w:t>RAN1 to check the parameters for S-band GEO to see if uplink operating SNR (-5.8 dB) can be improved.</w:t>
      </w:r>
      <w:bookmarkEnd w:id="21"/>
    </w:p>
    <w:p w14:paraId="728D2546" w14:textId="2A82D0D5" w:rsidR="00963FFC" w:rsidRDefault="00963FFC" w:rsidP="00963FFC">
      <w:pPr>
        <w:pStyle w:val="Heading2"/>
      </w:pPr>
      <w:r>
        <w:t>3.</w:t>
      </w:r>
      <w:r w:rsidR="0036416F">
        <w:t>2</w:t>
      </w:r>
      <w:r>
        <w:tab/>
        <w:t>LEO</w:t>
      </w:r>
      <w:r w:rsidR="0004603E">
        <w:t>: Noise only</w:t>
      </w:r>
    </w:p>
    <w:p w14:paraId="6EC05A25" w14:textId="337C422F" w:rsidR="00587171" w:rsidRDefault="00587171" w:rsidP="00587171">
      <w:pPr>
        <w:rPr>
          <w:rFonts w:ascii="Arial" w:hAnsi="Arial"/>
          <w:sz w:val="20"/>
          <w:szCs w:val="20"/>
        </w:rPr>
      </w:pPr>
      <w:r w:rsidRPr="00F22649">
        <w:rPr>
          <w:rFonts w:ascii="Arial" w:hAnsi="Arial"/>
          <w:sz w:val="20"/>
          <w:szCs w:val="20"/>
        </w:rPr>
        <w:t>Based on agreed RAN1 evaluation assumptions, we carry out link budget calculation for LEO</w:t>
      </w:r>
      <w:r w:rsidR="0062014D">
        <w:rPr>
          <w:rFonts w:ascii="Arial" w:hAnsi="Arial"/>
          <w:sz w:val="20"/>
          <w:szCs w:val="20"/>
        </w:rPr>
        <w:t xml:space="preserve"> with 30 degree elevation angle</w:t>
      </w:r>
      <w:r w:rsidRPr="00F22649">
        <w:rPr>
          <w:rFonts w:ascii="Arial" w:hAnsi="Arial"/>
          <w:sz w:val="20"/>
          <w:szCs w:val="20"/>
        </w:rPr>
        <w:t>, as given in</w:t>
      </w:r>
      <w:r w:rsidR="00605A30" w:rsidRPr="00F22649">
        <w:rPr>
          <w:rFonts w:ascii="Arial" w:hAnsi="Arial"/>
          <w:sz w:val="20"/>
          <w:szCs w:val="20"/>
        </w:rPr>
        <w:t xml:space="preserve"> </w:t>
      </w:r>
      <w:r w:rsidR="00605A30">
        <w:rPr>
          <w:rFonts w:ascii="Arial" w:hAnsi="Arial"/>
          <w:sz w:val="20"/>
          <w:szCs w:val="20"/>
        </w:rPr>
        <w:fldChar w:fldCharType="begin"/>
      </w:r>
      <w:r w:rsidR="00605A30" w:rsidRPr="00C76E89">
        <w:rPr>
          <w:rFonts w:ascii="Arial" w:hAnsi="Arial"/>
          <w:sz w:val="20"/>
          <w:szCs w:val="20"/>
        </w:rPr>
        <w:instrText xml:space="preserve"> REF _Ref14175188 \h </w:instrText>
      </w:r>
      <w:r w:rsidR="00605A30">
        <w:rPr>
          <w:rFonts w:ascii="Arial" w:hAnsi="Arial"/>
          <w:sz w:val="20"/>
          <w:szCs w:val="20"/>
        </w:rPr>
      </w:r>
      <w:r w:rsidR="00605A30">
        <w:rPr>
          <w:rFonts w:ascii="Arial" w:hAnsi="Arial"/>
          <w:sz w:val="20"/>
          <w:szCs w:val="20"/>
        </w:rPr>
        <w:fldChar w:fldCharType="separate"/>
      </w:r>
      <w:r w:rsidR="00A34377" w:rsidRPr="00EB66AE">
        <w:rPr>
          <w:rFonts w:ascii="Arial" w:hAnsi="Arial" w:cs="Arial"/>
          <w:sz w:val="20"/>
        </w:rPr>
        <w:t xml:space="preserve">Table </w:t>
      </w:r>
      <w:r w:rsidR="00A34377">
        <w:rPr>
          <w:rFonts w:ascii="Arial" w:hAnsi="Arial" w:cs="Arial"/>
          <w:noProof/>
          <w:sz w:val="20"/>
        </w:rPr>
        <w:t>2</w:t>
      </w:r>
      <w:r w:rsidR="00605A30">
        <w:rPr>
          <w:rFonts w:ascii="Arial" w:hAnsi="Arial"/>
          <w:sz w:val="20"/>
          <w:szCs w:val="20"/>
        </w:rPr>
        <w:fldChar w:fldCharType="end"/>
      </w:r>
      <w:r w:rsidRPr="00F22649">
        <w:rPr>
          <w:rFonts w:ascii="Arial" w:hAnsi="Arial"/>
          <w:sz w:val="20"/>
          <w:szCs w:val="20"/>
        </w:rPr>
        <w:t xml:space="preserve">. It is assumed that handheld UE transmits with 180 kHz bandwidth in S band and VSAT transmits with 400 MHz bandwidth in Ka band. </w:t>
      </w:r>
      <w:r>
        <w:rPr>
          <w:rFonts w:ascii="Arial" w:hAnsi="Arial"/>
          <w:sz w:val="20"/>
          <w:szCs w:val="20"/>
        </w:rPr>
        <w:t>We make the following observation</w:t>
      </w:r>
      <w:r w:rsidR="00322185">
        <w:rPr>
          <w:rFonts w:ascii="Arial" w:hAnsi="Arial"/>
          <w:sz w:val="20"/>
          <w:szCs w:val="20"/>
        </w:rPr>
        <w:t>s</w:t>
      </w:r>
      <w:r>
        <w:rPr>
          <w:rFonts w:ascii="Arial" w:hAnsi="Arial"/>
          <w:sz w:val="20"/>
          <w:szCs w:val="20"/>
        </w:rPr>
        <w:t>:</w:t>
      </w:r>
    </w:p>
    <w:p w14:paraId="7D6B941B" w14:textId="518E8733" w:rsidR="004C6B33" w:rsidRPr="00F22649" w:rsidRDefault="004C6B33" w:rsidP="00587171">
      <w:pPr>
        <w:pStyle w:val="Observation"/>
        <w:overflowPunct w:val="0"/>
        <w:autoSpaceDE w:val="0"/>
        <w:autoSpaceDN w:val="0"/>
        <w:adjustRightInd w:val="0"/>
        <w:spacing w:line="240" w:lineRule="auto"/>
        <w:textAlignment w:val="baseline"/>
        <w:rPr>
          <w:sz w:val="20"/>
          <w:szCs w:val="20"/>
        </w:rPr>
      </w:pPr>
      <w:bookmarkStart w:id="22" w:name="_Toc16839618"/>
      <w:r w:rsidRPr="00F22649">
        <w:rPr>
          <w:sz w:val="20"/>
          <w:szCs w:val="20"/>
        </w:rPr>
        <w:t xml:space="preserve">Each operating </w:t>
      </w:r>
      <w:r w:rsidR="004923FF" w:rsidRPr="00F22649">
        <w:rPr>
          <w:sz w:val="20"/>
          <w:szCs w:val="20"/>
        </w:rPr>
        <w:t xml:space="preserve">downlink </w:t>
      </w:r>
      <w:r w:rsidRPr="00F22649">
        <w:rPr>
          <w:sz w:val="20"/>
          <w:szCs w:val="20"/>
        </w:rPr>
        <w:t>SNR value in S-band LEO is close (within 1 dB) to its counterpart in Ka-band LEO.</w:t>
      </w:r>
      <w:bookmarkEnd w:id="22"/>
      <w:r w:rsidRPr="00F22649">
        <w:rPr>
          <w:sz w:val="20"/>
          <w:szCs w:val="20"/>
        </w:rPr>
        <w:t xml:space="preserve"> </w:t>
      </w:r>
    </w:p>
    <w:p w14:paraId="63E58D0A" w14:textId="486CB548" w:rsidR="004923FF" w:rsidRPr="001A0440" w:rsidRDefault="004923FF" w:rsidP="004923FF">
      <w:pPr>
        <w:pStyle w:val="Observation"/>
        <w:overflowPunct w:val="0"/>
        <w:autoSpaceDE w:val="0"/>
        <w:autoSpaceDN w:val="0"/>
        <w:adjustRightInd w:val="0"/>
        <w:spacing w:line="240" w:lineRule="auto"/>
        <w:textAlignment w:val="baseline"/>
        <w:rPr>
          <w:sz w:val="20"/>
          <w:szCs w:val="20"/>
        </w:rPr>
      </w:pPr>
      <w:bookmarkStart w:id="23" w:name="_Toc16839619"/>
      <w:r w:rsidRPr="001A0440">
        <w:rPr>
          <w:sz w:val="20"/>
          <w:szCs w:val="20"/>
        </w:rPr>
        <w:t>Each operating uplink SNR value in S-band LEO is about 11 dB lower than its counterpart in Ka-band LEO.</w:t>
      </w:r>
      <w:bookmarkEnd w:id="23"/>
      <w:r w:rsidRPr="001A0440">
        <w:rPr>
          <w:sz w:val="20"/>
          <w:szCs w:val="20"/>
        </w:rPr>
        <w:t xml:space="preserve"> </w:t>
      </w:r>
    </w:p>
    <w:p w14:paraId="60DF0CE5" w14:textId="5D5C5399" w:rsidR="00F9503D" w:rsidRPr="00121032" w:rsidRDefault="00F9503D" w:rsidP="00587171">
      <w:pPr>
        <w:pStyle w:val="Observation"/>
        <w:overflowPunct w:val="0"/>
        <w:autoSpaceDE w:val="0"/>
        <w:autoSpaceDN w:val="0"/>
        <w:adjustRightInd w:val="0"/>
        <w:spacing w:line="240" w:lineRule="auto"/>
        <w:textAlignment w:val="baseline"/>
        <w:rPr>
          <w:sz w:val="20"/>
          <w:szCs w:val="20"/>
        </w:rPr>
      </w:pPr>
      <w:bookmarkStart w:id="24" w:name="_Toc16839620"/>
      <w:r w:rsidRPr="00121032">
        <w:rPr>
          <w:sz w:val="20"/>
          <w:szCs w:val="20"/>
        </w:rPr>
        <w:t>In LEO, uplink operating SNR at 600 km is 5.4 dB higher than uplink operating SNR at 1200 km. The 5.4 dB difference purely comes from free space path loss difference in these two cases.</w:t>
      </w:r>
      <w:bookmarkEnd w:id="24"/>
    </w:p>
    <w:p w14:paraId="657F8AEC" w14:textId="726D30F5" w:rsidR="00605A30" w:rsidRPr="00776A0C" w:rsidRDefault="00605A30" w:rsidP="00605A30">
      <w:pPr>
        <w:pStyle w:val="Observation"/>
        <w:overflowPunct w:val="0"/>
        <w:autoSpaceDE w:val="0"/>
        <w:autoSpaceDN w:val="0"/>
        <w:adjustRightInd w:val="0"/>
        <w:spacing w:line="240" w:lineRule="auto"/>
        <w:textAlignment w:val="baseline"/>
        <w:rPr>
          <w:sz w:val="20"/>
          <w:szCs w:val="20"/>
        </w:rPr>
      </w:pPr>
      <w:bookmarkStart w:id="25" w:name="_Toc16839621"/>
      <w:r w:rsidRPr="00121032">
        <w:rPr>
          <w:sz w:val="20"/>
          <w:szCs w:val="20"/>
        </w:rPr>
        <w:t xml:space="preserve">In LEO, </w:t>
      </w:r>
      <w:r w:rsidR="00A02AD4" w:rsidRPr="00121032">
        <w:rPr>
          <w:sz w:val="20"/>
          <w:szCs w:val="20"/>
        </w:rPr>
        <w:t>the difference of down</w:t>
      </w:r>
      <w:r w:rsidRPr="00121032">
        <w:rPr>
          <w:sz w:val="20"/>
          <w:szCs w:val="20"/>
        </w:rPr>
        <w:t>link operating SNR</w:t>
      </w:r>
      <w:r w:rsidR="00A02AD4" w:rsidRPr="00121032">
        <w:rPr>
          <w:sz w:val="20"/>
          <w:szCs w:val="20"/>
        </w:rPr>
        <w:t>s at 600 km and at 1200 km is within 1 dB.</w:t>
      </w:r>
      <w:r w:rsidR="00A02AD4" w:rsidRPr="0062014D">
        <w:rPr>
          <w:sz w:val="20"/>
          <w:szCs w:val="20"/>
        </w:rPr>
        <w:t xml:space="preserve"> This is because the 6 dB higher transmit power at 1200 km compensates</w:t>
      </w:r>
      <w:r w:rsidR="00F9503D" w:rsidRPr="0062014D">
        <w:rPr>
          <w:sz w:val="20"/>
          <w:szCs w:val="20"/>
        </w:rPr>
        <w:t xml:space="preserve"> for</w:t>
      </w:r>
      <w:r w:rsidR="00A02AD4" w:rsidRPr="0062014D">
        <w:rPr>
          <w:sz w:val="20"/>
          <w:szCs w:val="20"/>
        </w:rPr>
        <w:t xml:space="preserve"> the 5.4 dB higher path loss at 1200 km, resulting in </w:t>
      </w:r>
      <w:r w:rsidR="00F9503D" w:rsidRPr="00987A1F">
        <w:rPr>
          <w:sz w:val="20"/>
          <w:szCs w:val="20"/>
        </w:rPr>
        <w:t>an</w:t>
      </w:r>
      <w:r w:rsidR="00A02AD4" w:rsidRPr="00987A1F">
        <w:rPr>
          <w:sz w:val="20"/>
          <w:szCs w:val="20"/>
        </w:rPr>
        <w:t xml:space="preserve"> operating SNR value </w:t>
      </w:r>
      <w:r w:rsidR="00F9503D" w:rsidRPr="00987A1F">
        <w:rPr>
          <w:sz w:val="20"/>
          <w:szCs w:val="20"/>
        </w:rPr>
        <w:t>close to the counterpart</w:t>
      </w:r>
      <w:r w:rsidR="00A02AD4" w:rsidRPr="00987A1F">
        <w:rPr>
          <w:sz w:val="20"/>
          <w:szCs w:val="20"/>
        </w:rPr>
        <w:t xml:space="preserve"> </w:t>
      </w:r>
      <w:r w:rsidR="00F9503D" w:rsidRPr="00776A0C">
        <w:rPr>
          <w:sz w:val="20"/>
          <w:szCs w:val="20"/>
        </w:rPr>
        <w:t>at 600 km.</w:t>
      </w:r>
      <w:bookmarkEnd w:id="25"/>
    </w:p>
    <w:p w14:paraId="6CEBF5D4" w14:textId="2BDBD336" w:rsidR="00963FFC" w:rsidRPr="008F4B54" w:rsidRDefault="00963FFC" w:rsidP="00963FFC">
      <w:pPr>
        <w:rPr>
          <w:lang w:eastAsia="ja-JP"/>
        </w:rPr>
      </w:pPr>
    </w:p>
    <w:tbl>
      <w:tblPr>
        <w:tblW w:w="0" w:type="auto"/>
        <w:tblLook w:val="04A0" w:firstRow="1" w:lastRow="0" w:firstColumn="1" w:lastColumn="0" w:noHBand="0" w:noVBand="1"/>
      </w:tblPr>
      <w:tblGrid>
        <w:gridCol w:w="2963"/>
        <w:gridCol w:w="861"/>
        <w:gridCol w:w="861"/>
        <w:gridCol w:w="862"/>
        <w:gridCol w:w="862"/>
        <w:gridCol w:w="862"/>
        <w:gridCol w:w="748"/>
        <w:gridCol w:w="862"/>
        <w:gridCol w:w="748"/>
      </w:tblGrid>
      <w:tr w:rsidR="00605A30" w:rsidRPr="00587171" w14:paraId="7C3B5BA0" w14:textId="77777777" w:rsidTr="00C63CC5">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5D7036F" w14:textId="38001B28" w:rsidR="00605A30" w:rsidRPr="00587171" w:rsidRDefault="00605A30" w:rsidP="00605A30">
            <w:pPr>
              <w:spacing w:after="0" w:line="240" w:lineRule="auto"/>
              <w:jc w:val="center"/>
              <w:rPr>
                <w:rFonts w:ascii="Calibri" w:eastAsia="Times New Roman" w:hAnsi="Calibri" w:cs="Calibri"/>
                <w:color w:val="000000"/>
              </w:rPr>
            </w:pPr>
            <w:r w:rsidRPr="00D561B2">
              <w:rPr>
                <w:rFonts w:ascii="Calibri" w:eastAsia="Times New Roman" w:hAnsi="Calibri" w:cs="Calibri"/>
                <w:b/>
                <w:bCs/>
                <w:color w:val="000000"/>
              </w:rPr>
              <w:t>LINK BUDGET</w:t>
            </w:r>
          </w:p>
        </w:tc>
        <w:tc>
          <w:tcPr>
            <w:tcW w:w="0" w:type="auto"/>
            <w:gridSpan w:val="2"/>
            <w:tcBorders>
              <w:top w:val="single" w:sz="4" w:space="0" w:color="auto"/>
              <w:left w:val="nil"/>
              <w:bottom w:val="single" w:sz="4" w:space="0" w:color="auto"/>
              <w:right w:val="single" w:sz="4" w:space="0" w:color="auto"/>
            </w:tcBorders>
            <w:shd w:val="clear" w:color="000000" w:fill="FCE4D6"/>
            <w:noWrap/>
            <w:vAlign w:val="center"/>
          </w:tcPr>
          <w:p w14:paraId="149E52ED" w14:textId="52134D14" w:rsidR="00605A30" w:rsidRDefault="00605A30" w:rsidP="00605A30">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S</w:t>
            </w:r>
            <w:r w:rsidR="00F9503D">
              <w:rPr>
                <w:rFonts w:ascii="Calibri" w:eastAsia="Times New Roman" w:hAnsi="Calibri" w:cs="Calibri"/>
                <w:b/>
                <w:bCs/>
                <w:color w:val="000000"/>
              </w:rPr>
              <w:t>-</w:t>
            </w:r>
            <w:r>
              <w:rPr>
                <w:rFonts w:ascii="Calibri" w:eastAsia="Times New Roman" w:hAnsi="Calibri" w:cs="Calibri"/>
                <w:b/>
                <w:bCs/>
                <w:color w:val="000000"/>
              </w:rPr>
              <w:t>band</w:t>
            </w:r>
          </w:p>
          <w:p w14:paraId="705FD2CC" w14:textId="20F93CCD" w:rsidR="00605A30" w:rsidRPr="00587171" w:rsidRDefault="00605A30" w:rsidP="00605A30">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600 km</w:t>
            </w:r>
          </w:p>
        </w:tc>
        <w:tc>
          <w:tcPr>
            <w:tcW w:w="0" w:type="auto"/>
            <w:gridSpan w:val="2"/>
            <w:tcBorders>
              <w:top w:val="single" w:sz="4" w:space="0" w:color="auto"/>
              <w:left w:val="nil"/>
              <w:bottom w:val="single" w:sz="4" w:space="0" w:color="auto"/>
              <w:right w:val="single" w:sz="4" w:space="0" w:color="auto"/>
            </w:tcBorders>
            <w:shd w:val="clear" w:color="000000" w:fill="FFF2CC"/>
            <w:noWrap/>
            <w:vAlign w:val="bottom"/>
          </w:tcPr>
          <w:p w14:paraId="2EE44B5D" w14:textId="7005F096" w:rsidR="00605A30" w:rsidRDefault="00605A30" w:rsidP="00605A30">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S</w:t>
            </w:r>
            <w:r w:rsidR="00F9503D">
              <w:rPr>
                <w:rFonts w:ascii="Calibri" w:eastAsia="Times New Roman" w:hAnsi="Calibri" w:cs="Calibri"/>
                <w:b/>
                <w:bCs/>
                <w:color w:val="000000"/>
              </w:rPr>
              <w:t>-</w:t>
            </w:r>
            <w:r>
              <w:rPr>
                <w:rFonts w:ascii="Calibri" w:eastAsia="Times New Roman" w:hAnsi="Calibri" w:cs="Calibri"/>
                <w:b/>
                <w:bCs/>
                <w:color w:val="000000"/>
              </w:rPr>
              <w:t>band</w:t>
            </w:r>
          </w:p>
          <w:p w14:paraId="19CA7035" w14:textId="5687539F" w:rsidR="00605A30" w:rsidRPr="00587171" w:rsidRDefault="00605A30" w:rsidP="00605A30">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1200 km</w:t>
            </w:r>
          </w:p>
        </w:tc>
        <w:tc>
          <w:tcPr>
            <w:tcW w:w="0" w:type="auto"/>
            <w:gridSpan w:val="2"/>
            <w:tcBorders>
              <w:top w:val="single" w:sz="4" w:space="0" w:color="auto"/>
              <w:left w:val="nil"/>
              <w:bottom w:val="single" w:sz="4" w:space="0" w:color="auto"/>
              <w:right w:val="single" w:sz="4" w:space="0" w:color="auto"/>
            </w:tcBorders>
            <w:shd w:val="clear" w:color="000000" w:fill="FCE4D6"/>
            <w:noWrap/>
            <w:vAlign w:val="center"/>
          </w:tcPr>
          <w:p w14:paraId="14A96AFD" w14:textId="21DAE22B" w:rsidR="00605A30" w:rsidRDefault="00605A30" w:rsidP="00605A30">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Ka</w:t>
            </w:r>
            <w:r w:rsidR="00F9503D">
              <w:rPr>
                <w:rFonts w:ascii="Calibri" w:eastAsia="Times New Roman" w:hAnsi="Calibri" w:cs="Calibri"/>
                <w:b/>
                <w:bCs/>
                <w:color w:val="000000"/>
              </w:rPr>
              <w:t>-</w:t>
            </w:r>
            <w:r>
              <w:rPr>
                <w:rFonts w:ascii="Calibri" w:eastAsia="Times New Roman" w:hAnsi="Calibri" w:cs="Calibri"/>
                <w:b/>
                <w:bCs/>
                <w:color w:val="000000"/>
              </w:rPr>
              <w:t>band</w:t>
            </w:r>
          </w:p>
          <w:p w14:paraId="48B623AE" w14:textId="427A265B" w:rsidR="00605A30" w:rsidRPr="00587171" w:rsidRDefault="00605A30" w:rsidP="00605A30">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600 km</w:t>
            </w:r>
          </w:p>
        </w:tc>
        <w:tc>
          <w:tcPr>
            <w:tcW w:w="0" w:type="auto"/>
            <w:gridSpan w:val="2"/>
            <w:tcBorders>
              <w:top w:val="single" w:sz="4" w:space="0" w:color="auto"/>
              <w:left w:val="nil"/>
              <w:bottom w:val="single" w:sz="4" w:space="0" w:color="auto"/>
              <w:right w:val="single" w:sz="4" w:space="0" w:color="auto"/>
            </w:tcBorders>
            <w:shd w:val="clear" w:color="000000" w:fill="FFF2CC"/>
            <w:noWrap/>
            <w:vAlign w:val="bottom"/>
          </w:tcPr>
          <w:p w14:paraId="631E3E9C" w14:textId="1885623A" w:rsidR="00605A30" w:rsidRDefault="00605A30" w:rsidP="00605A30">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Ka</w:t>
            </w:r>
            <w:r w:rsidR="00F9503D">
              <w:rPr>
                <w:rFonts w:ascii="Calibri" w:eastAsia="Times New Roman" w:hAnsi="Calibri" w:cs="Calibri"/>
                <w:b/>
                <w:bCs/>
                <w:color w:val="000000"/>
              </w:rPr>
              <w:t>-</w:t>
            </w:r>
            <w:r>
              <w:rPr>
                <w:rFonts w:ascii="Calibri" w:eastAsia="Times New Roman" w:hAnsi="Calibri" w:cs="Calibri"/>
                <w:b/>
                <w:bCs/>
                <w:color w:val="000000"/>
              </w:rPr>
              <w:t>band</w:t>
            </w:r>
          </w:p>
          <w:p w14:paraId="6BE2F0C3" w14:textId="1A54C070" w:rsidR="00605A30" w:rsidRPr="00587171" w:rsidRDefault="00605A30" w:rsidP="00605A30">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1200 km</w:t>
            </w:r>
          </w:p>
        </w:tc>
      </w:tr>
      <w:tr w:rsidR="00587171" w:rsidRPr="00587171" w14:paraId="231A55EC" w14:textId="77777777" w:rsidTr="00605A30">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6C2DE"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System</w:t>
            </w:r>
          </w:p>
        </w:tc>
        <w:tc>
          <w:tcPr>
            <w:tcW w:w="0" w:type="auto"/>
            <w:tcBorders>
              <w:top w:val="single" w:sz="4" w:space="0" w:color="auto"/>
              <w:left w:val="nil"/>
              <w:bottom w:val="single" w:sz="4" w:space="0" w:color="auto"/>
              <w:right w:val="single" w:sz="4" w:space="0" w:color="auto"/>
            </w:tcBorders>
            <w:shd w:val="clear" w:color="000000" w:fill="FCE4D6"/>
            <w:noWrap/>
            <w:vAlign w:val="center"/>
            <w:hideMark/>
          </w:tcPr>
          <w:p w14:paraId="6988FE79" w14:textId="77777777" w:rsidR="00587171" w:rsidRPr="00587171" w:rsidRDefault="00587171" w:rsidP="00587171">
            <w:pPr>
              <w:spacing w:after="0" w:line="240" w:lineRule="auto"/>
              <w:jc w:val="center"/>
              <w:rPr>
                <w:rFonts w:ascii="Calibri" w:eastAsia="Times New Roman" w:hAnsi="Calibri" w:cs="Calibri"/>
                <w:b/>
                <w:bCs/>
                <w:color w:val="000000"/>
              </w:rPr>
            </w:pPr>
            <w:r w:rsidRPr="00587171">
              <w:rPr>
                <w:rFonts w:ascii="Calibri" w:eastAsia="Times New Roman" w:hAnsi="Calibri" w:cs="Calibri"/>
                <w:b/>
                <w:bCs/>
                <w:color w:val="000000"/>
              </w:rPr>
              <w:t>LEO DL</w:t>
            </w:r>
          </w:p>
        </w:tc>
        <w:tc>
          <w:tcPr>
            <w:tcW w:w="0" w:type="auto"/>
            <w:tcBorders>
              <w:top w:val="single" w:sz="4" w:space="0" w:color="auto"/>
              <w:left w:val="nil"/>
              <w:bottom w:val="single" w:sz="4" w:space="0" w:color="auto"/>
              <w:right w:val="single" w:sz="4" w:space="0" w:color="auto"/>
            </w:tcBorders>
            <w:shd w:val="clear" w:color="000000" w:fill="FCE4D6"/>
            <w:noWrap/>
            <w:vAlign w:val="center"/>
            <w:hideMark/>
          </w:tcPr>
          <w:p w14:paraId="4797622A" w14:textId="77777777" w:rsidR="00587171" w:rsidRPr="00587171" w:rsidRDefault="00587171" w:rsidP="00587171">
            <w:pPr>
              <w:spacing w:after="0" w:line="240" w:lineRule="auto"/>
              <w:jc w:val="center"/>
              <w:rPr>
                <w:rFonts w:ascii="Calibri" w:eastAsia="Times New Roman" w:hAnsi="Calibri" w:cs="Calibri"/>
                <w:b/>
                <w:bCs/>
                <w:color w:val="000000"/>
              </w:rPr>
            </w:pPr>
            <w:r w:rsidRPr="00587171">
              <w:rPr>
                <w:rFonts w:ascii="Calibri" w:eastAsia="Times New Roman" w:hAnsi="Calibri" w:cs="Calibri"/>
                <w:b/>
                <w:bCs/>
                <w:color w:val="000000"/>
              </w:rPr>
              <w:t>LEO UL</w:t>
            </w:r>
          </w:p>
        </w:tc>
        <w:tc>
          <w:tcPr>
            <w:tcW w:w="0" w:type="auto"/>
            <w:tcBorders>
              <w:top w:val="single" w:sz="4" w:space="0" w:color="auto"/>
              <w:left w:val="nil"/>
              <w:bottom w:val="single" w:sz="4" w:space="0" w:color="auto"/>
              <w:right w:val="single" w:sz="4" w:space="0" w:color="auto"/>
            </w:tcBorders>
            <w:shd w:val="clear" w:color="000000" w:fill="FFF2CC"/>
            <w:noWrap/>
            <w:vAlign w:val="bottom"/>
            <w:hideMark/>
          </w:tcPr>
          <w:p w14:paraId="159DC8EA" w14:textId="77777777" w:rsidR="00587171" w:rsidRPr="00587171" w:rsidRDefault="00587171" w:rsidP="00587171">
            <w:pPr>
              <w:spacing w:after="0" w:line="240" w:lineRule="auto"/>
              <w:rPr>
                <w:rFonts w:ascii="Calibri" w:eastAsia="Times New Roman" w:hAnsi="Calibri" w:cs="Calibri"/>
                <w:b/>
                <w:bCs/>
                <w:color w:val="000000"/>
              </w:rPr>
            </w:pPr>
            <w:r w:rsidRPr="00587171">
              <w:rPr>
                <w:rFonts w:ascii="Calibri" w:eastAsia="Times New Roman" w:hAnsi="Calibri" w:cs="Calibri"/>
                <w:b/>
                <w:bCs/>
                <w:color w:val="000000"/>
              </w:rPr>
              <w:t>LEO DL</w:t>
            </w:r>
          </w:p>
        </w:tc>
        <w:tc>
          <w:tcPr>
            <w:tcW w:w="0" w:type="auto"/>
            <w:tcBorders>
              <w:top w:val="single" w:sz="4" w:space="0" w:color="auto"/>
              <w:left w:val="nil"/>
              <w:bottom w:val="single" w:sz="4" w:space="0" w:color="auto"/>
              <w:right w:val="single" w:sz="4" w:space="0" w:color="auto"/>
            </w:tcBorders>
            <w:shd w:val="clear" w:color="000000" w:fill="FFF2CC"/>
            <w:noWrap/>
            <w:vAlign w:val="bottom"/>
            <w:hideMark/>
          </w:tcPr>
          <w:p w14:paraId="613182CF" w14:textId="77777777" w:rsidR="00587171" w:rsidRPr="00587171" w:rsidRDefault="00587171" w:rsidP="00587171">
            <w:pPr>
              <w:spacing w:after="0" w:line="240" w:lineRule="auto"/>
              <w:rPr>
                <w:rFonts w:ascii="Calibri" w:eastAsia="Times New Roman" w:hAnsi="Calibri" w:cs="Calibri"/>
                <w:b/>
                <w:bCs/>
                <w:color w:val="000000"/>
              </w:rPr>
            </w:pPr>
            <w:r w:rsidRPr="00587171">
              <w:rPr>
                <w:rFonts w:ascii="Calibri" w:eastAsia="Times New Roman" w:hAnsi="Calibri" w:cs="Calibri"/>
                <w:b/>
                <w:bCs/>
                <w:color w:val="000000"/>
              </w:rPr>
              <w:t>LEO UL</w:t>
            </w:r>
          </w:p>
        </w:tc>
        <w:tc>
          <w:tcPr>
            <w:tcW w:w="0" w:type="auto"/>
            <w:tcBorders>
              <w:top w:val="single" w:sz="4" w:space="0" w:color="auto"/>
              <w:left w:val="nil"/>
              <w:bottom w:val="single" w:sz="4" w:space="0" w:color="auto"/>
              <w:right w:val="single" w:sz="4" w:space="0" w:color="auto"/>
            </w:tcBorders>
            <w:shd w:val="clear" w:color="000000" w:fill="FCE4D6"/>
            <w:noWrap/>
            <w:vAlign w:val="center"/>
            <w:hideMark/>
          </w:tcPr>
          <w:p w14:paraId="43743C2E" w14:textId="77777777" w:rsidR="00587171" w:rsidRPr="00587171" w:rsidRDefault="00587171" w:rsidP="00587171">
            <w:pPr>
              <w:spacing w:after="0" w:line="240" w:lineRule="auto"/>
              <w:jc w:val="center"/>
              <w:rPr>
                <w:rFonts w:ascii="Calibri" w:eastAsia="Times New Roman" w:hAnsi="Calibri" w:cs="Calibri"/>
                <w:b/>
                <w:bCs/>
                <w:color w:val="000000"/>
              </w:rPr>
            </w:pPr>
            <w:r w:rsidRPr="00587171">
              <w:rPr>
                <w:rFonts w:ascii="Calibri" w:eastAsia="Times New Roman" w:hAnsi="Calibri" w:cs="Calibri"/>
                <w:b/>
                <w:bCs/>
                <w:color w:val="000000"/>
              </w:rPr>
              <w:t>LEO DL</w:t>
            </w:r>
          </w:p>
        </w:tc>
        <w:tc>
          <w:tcPr>
            <w:tcW w:w="0" w:type="auto"/>
            <w:tcBorders>
              <w:top w:val="single" w:sz="4" w:space="0" w:color="auto"/>
              <w:left w:val="nil"/>
              <w:bottom w:val="single" w:sz="4" w:space="0" w:color="auto"/>
              <w:right w:val="single" w:sz="4" w:space="0" w:color="auto"/>
            </w:tcBorders>
            <w:shd w:val="clear" w:color="000000" w:fill="FCE4D6"/>
            <w:noWrap/>
            <w:vAlign w:val="center"/>
            <w:hideMark/>
          </w:tcPr>
          <w:p w14:paraId="6DBB8026" w14:textId="77777777" w:rsidR="00587171" w:rsidRDefault="00587171" w:rsidP="00587171">
            <w:pPr>
              <w:spacing w:after="0" w:line="240" w:lineRule="auto"/>
              <w:jc w:val="center"/>
              <w:rPr>
                <w:rFonts w:ascii="Calibri" w:eastAsia="Times New Roman" w:hAnsi="Calibri" w:cs="Calibri"/>
                <w:b/>
                <w:bCs/>
                <w:color w:val="000000"/>
              </w:rPr>
            </w:pPr>
            <w:r w:rsidRPr="00587171">
              <w:rPr>
                <w:rFonts w:ascii="Calibri" w:eastAsia="Times New Roman" w:hAnsi="Calibri" w:cs="Calibri"/>
                <w:b/>
                <w:bCs/>
                <w:color w:val="000000"/>
              </w:rPr>
              <w:t xml:space="preserve">LEO </w:t>
            </w:r>
          </w:p>
          <w:p w14:paraId="5D3589A6" w14:textId="00523B59" w:rsidR="00587171" w:rsidRPr="00587171" w:rsidRDefault="00587171" w:rsidP="00587171">
            <w:pPr>
              <w:spacing w:after="0" w:line="240" w:lineRule="auto"/>
              <w:jc w:val="center"/>
              <w:rPr>
                <w:rFonts w:ascii="Calibri" w:eastAsia="Times New Roman" w:hAnsi="Calibri" w:cs="Calibri"/>
                <w:b/>
                <w:bCs/>
                <w:color w:val="000000"/>
              </w:rPr>
            </w:pPr>
            <w:r w:rsidRPr="00587171">
              <w:rPr>
                <w:rFonts w:ascii="Calibri" w:eastAsia="Times New Roman" w:hAnsi="Calibri" w:cs="Calibri"/>
                <w:b/>
                <w:bCs/>
                <w:color w:val="000000"/>
              </w:rPr>
              <w:t>UL</w:t>
            </w:r>
          </w:p>
        </w:tc>
        <w:tc>
          <w:tcPr>
            <w:tcW w:w="0" w:type="auto"/>
            <w:tcBorders>
              <w:top w:val="single" w:sz="4" w:space="0" w:color="auto"/>
              <w:left w:val="nil"/>
              <w:bottom w:val="single" w:sz="4" w:space="0" w:color="auto"/>
              <w:right w:val="single" w:sz="4" w:space="0" w:color="auto"/>
            </w:tcBorders>
            <w:shd w:val="clear" w:color="000000" w:fill="FFF2CC"/>
            <w:noWrap/>
            <w:vAlign w:val="center"/>
            <w:hideMark/>
          </w:tcPr>
          <w:p w14:paraId="69EE9672" w14:textId="77777777" w:rsidR="00587171" w:rsidRPr="00587171" w:rsidRDefault="00587171" w:rsidP="00587171">
            <w:pPr>
              <w:spacing w:after="0" w:line="240" w:lineRule="auto"/>
              <w:jc w:val="center"/>
              <w:rPr>
                <w:rFonts w:ascii="Calibri" w:eastAsia="Times New Roman" w:hAnsi="Calibri" w:cs="Calibri"/>
                <w:b/>
                <w:bCs/>
                <w:color w:val="000000"/>
              </w:rPr>
            </w:pPr>
            <w:r w:rsidRPr="00587171">
              <w:rPr>
                <w:rFonts w:ascii="Calibri" w:eastAsia="Times New Roman" w:hAnsi="Calibri" w:cs="Calibri"/>
                <w:b/>
                <w:bCs/>
                <w:color w:val="000000"/>
              </w:rPr>
              <w:t>LEO DL</w:t>
            </w:r>
          </w:p>
        </w:tc>
        <w:tc>
          <w:tcPr>
            <w:tcW w:w="0" w:type="auto"/>
            <w:tcBorders>
              <w:top w:val="single" w:sz="4" w:space="0" w:color="auto"/>
              <w:left w:val="nil"/>
              <w:bottom w:val="single" w:sz="4" w:space="0" w:color="auto"/>
              <w:right w:val="single" w:sz="4" w:space="0" w:color="auto"/>
            </w:tcBorders>
            <w:shd w:val="clear" w:color="000000" w:fill="FFF2CC"/>
            <w:noWrap/>
            <w:vAlign w:val="center"/>
            <w:hideMark/>
          </w:tcPr>
          <w:p w14:paraId="44DD7EB2" w14:textId="77777777" w:rsidR="00587171" w:rsidRDefault="00587171" w:rsidP="00587171">
            <w:pPr>
              <w:spacing w:after="0" w:line="240" w:lineRule="auto"/>
              <w:jc w:val="center"/>
              <w:rPr>
                <w:rFonts w:ascii="Calibri" w:eastAsia="Times New Roman" w:hAnsi="Calibri" w:cs="Calibri"/>
                <w:b/>
                <w:bCs/>
                <w:color w:val="000000"/>
              </w:rPr>
            </w:pPr>
            <w:r w:rsidRPr="00587171">
              <w:rPr>
                <w:rFonts w:ascii="Calibri" w:eastAsia="Times New Roman" w:hAnsi="Calibri" w:cs="Calibri"/>
                <w:b/>
                <w:bCs/>
                <w:color w:val="000000"/>
              </w:rPr>
              <w:t xml:space="preserve">LEO </w:t>
            </w:r>
          </w:p>
          <w:p w14:paraId="010E77E6" w14:textId="0CD0E492" w:rsidR="00587171" w:rsidRPr="00587171" w:rsidRDefault="00587171" w:rsidP="00587171">
            <w:pPr>
              <w:spacing w:after="0" w:line="240" w:lineRule="auto"/>
              <w:jc w:val="center"/>
              <w:rPr>
                <w:rFonts w:ascii="Calibri" w:eastAsia="Times New Roman" w:hAnsi="Calibri" w:cs="Calibri"/>
                <w:b/>
                <w:bCs/>
                <w:color w:val="000000"/>
              </w:rPr>
            </w:pPr>
            <w:r w:rsidRPr="00587171">
              <w:rPr>
                <w:rFonts w:ascii="Calibri" w:eastAsia="Times New Roman" w:hAnsi="Calibri" w:cs="Calibri"/>
                <w:b/>
                <w:bCs/>
                <w:color w:val="000000"/>
              </w:rPr>
              <w:t>UL</w:t>
            </w:r>
          </w:p>
        </w:tc>
      </w:tr>
      <w:tr w:rsidR="00587171" w:rsidRPr="00587171" w14:paraId="27F76C2F" w14:textId="77777777" w:rsidTr="00605A30">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45F0E62" w14:textId="77777777" w:rsidR="00587171" w:rsidRPr="00F22649" w:rsidRDefault="00587171" w:rsidP="00587171">
            <w:pPr>
              <w:spacing w:after="0" w:line="240" w:lineRule="auto"/>
              <w:jc w:val="center"/>
              <w:rPr>
                <w:rFonts w:ascii="Calibri" w:eastAsia="Times New Roman" w:hAnsi="Calibri" w:cs="Calibri"/>
                <w:color w:val="000000"/>
              </w:rPr>
            </w:pPr>
            <w:r w:rsidRPr="00F22649">
              <w:rPr>
                <w:rFonts w:ascii="Calibri" w:eastAsia="Times New Roman" w:hAnsi="Calibri" w:cs="Calibri"/>
                <w:color w:val="000000"/>
              </w:rPr>
              <w:t>TX: EIRP/spot/Bandwidth [dBm]</w:t>
            </w:r>
          </w:p>
        </w:tc>
        <w:tc>
          <w:tcPr>
            <w:tcW w:w="0" w:type="auto"/>
            <w:tcBorders>
              <w:top w:val="nil"/>
              <w:left w:val="nil"/>
              <w:bottom w:val="single" w:sz="4" w:space="0" w:color="auto"/>
              <w:right w:val="single" w:sz="4" w:space="0" w:color="auto"/>
            </w:tcBorders>
            <w:shd w:val="clear" w:color="000000" w:fill="FCE4D6"/>
            <w:noWrap/>
            <w:vAlign w:val="center"/>
            <w:hideMark/>
          </w:tcPr>
          <w:p w14:paraId="49E1CD2F"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56.6</w:t>
            </w:r>
          </w:p>
        </w:tc>
        <w:tc>
          <w:tcPr>
            <w:tcW w:w="0" w:type="auto"/>
            <w:tcBorders>
              <w:top w:val="nil"/>
              <w:left w:val="nil"/>
              <w:bottom w:val="single" w:sz="4" w:space="0" w:color="auto"/>
              <w:right w:val="single" w:sz="4" w:space="0" w:color="auto"/>
            </w:tcBorders>
            <w:shd w:val="clear" w:color="000000" w:fill="FCE4D6"/>
            <w:noWrap/>
            <w:vAlign w:val="center"/>
            <w:hideMark/>
          </w:tcPr>
          <w:p w14:paraId="76895F1C"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23.0</w:t>
            </w:r>
          </w:p>
        </w:tc>
        <w:tc>
          <w:tcPr>
            <w:tcW w:w="0" w:type="auto"/>
            <w:tcBorders>
              <w:top w:val="nil"/>
              <w:left w:val="nil"/>
              <w:bottom w:val="single" w:sz="4" w:space="0" w:color="auto"/>
              <w:right w:val="single" w:sz="4" w:space="0" w:color="auto"/>
            </w:tcBorders>
            <w:shd w:val="clear" w:color="000000" w:fill="FFF2CC"/>
            <w:noWrap/>
            <w:vAlign w:val="center"/>
            <w:hideMark/>
          </w:tcPr>
          <w:p w14:paraId="0F12A99D"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62.6</w:t>
            </w:r>
          </w:p>
        </w:tc>
        <w:tc>
          <w:tcPr>
            <w:tcW w:w="0" w:type="auto"/>
            <w:tcBorders>
              <w:top w:val="nil"/>
              <w:left w:val="nil"/>
              <w:bottom w:val="single" w:sz="4" w:space="0" w:color="auto"/>
              <w:right w:val="single" w:sz="4" w:space="0" w:color="auto"/>
            </w:tcBorders>
            <w:shd w:val="clear" w:color="000000" w:fill="FFF2CC"/>
            <w:noWrap/>
            <w:vAlign w:val="center"/>
            <w:hideMark/>
          </w:tcPr>
          <w:p w14:paraId="5A01AA00"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23.0</w:t>
            </w:r>
          </w:p>
        </w:tc>
        <w:tc>
          <w:tcPr>
            <w:tcW w:w="0" w:type="auto"/>
            <w:tcBorders>
              <w:top w:val="nil"/>
              <w:left w:val="nil"/>
              <w:bottom w:val="single" w:sz="4" w:space="0" w:color="auto"/>
              <w:right w:val="single" w:sz="4" w:space="0" w:color="auto"/>
            </w:tcBorders>
            <w:shd w:val="clear" w:color="000000" w:fill="FCE4D6"/>
            <w:noWrap/>
            <w:vAlign w:val="center"/>
            <w:hideMark/>
          </w:tcPr>
          <w:p w14:paraId="0CE3A429"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26.6</w:t>
            </w:r>
          </w:p>
        </w:tc>
        <w:tc>
          <w:tcPr>
            <w:tcW w:w="0" w:type="auto"/>
            <w:tcBorders>
              <w:top w:val="nil"/>
              <w:left w:val="nil"/>
              <w:bottom w:val="single" w:sz="4" w:space="0" w:color="auto"/>
              <w:right w:val="single" w:sz="4" w:space="0" w:color="auto"/>
            </w:tcBorders>
            <w:shd w:val="clear" w:color="000000" w:fill="FCE4D6"/>
            <w:noWrap/>
            <w:vAlign w:val="center"/>
            <w:hideMark/>
          </w:tcPr>
          <w:p w14:paraId="141D6A6D"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76.2</w:t>
            </w:r>
          </w:p>
        </w:tc>
        <w:tc>
          <w:tcPr>
            <w:tcW w:w="0" w:type="auto"/>
            <w:tcBorders>
              <w:top w:val="nil"/>
              <w:left w:val="nil"/>
              <w:bottom w:val="single" w:sz="4" w:space="0" w:color="auto"/>
              <w:right w:val="single" w:sz="4" w:space="0" w:color="auto"/>
            </w:tcBorders>
            <w:shd w:val="clear" w:color="000000" w:fill="FFF2CC"/>
            <w:noWrap/>
            <w:vAlign w:val="center"/>
            <w:hideMark/>
          </w:tcPr>
          <w:p w14:paraId="47888D8C"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32.6</w:t>
            </w:r>
          </w:p>
        </w:tc>
        <w:tc>
          <w:tcPr>
            <w:tcW w:w="0" w:type="auto"/>
            <w:tcBorders>
              <w:top w:val="nil"/>
              <w:left w:val="nil"/>
              <w:bottom w:val="single" w:sz="4" w:space="0" w:color="auto"/>
              <w:right w:val="single" w:sz="4" w:space="0" w:color="auto"/>
            </w:tcBorders>
            <w:shd w:val="clear" w:color="000000" w:fill="FFF2CC"/>
            <w:noWrap/>
            <w:vAlign w:val="center"/>
            <w:hideMark/>
          </w:tcPr>
          <w:p w14:paraId="5CAB054E"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76.2</w:t>
            </w:r>
          </w:p>
        </w:tc>
      </w:tr>
      <w:tr w:rsidR="00587171" w:rsidRPr="00587171" w14:paraId="2439A720" w14:textId="77777777" w:rsidTr="00605A30">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9FE21A9"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RX: G/T [dB/T]</w:t>
            </w:r>
          </w:p>
        </w:tc>
        <w:tc>
          <w:tcPr>
            <w:tcW w:w="0" w:type="auto"/>
            <w:tcBorders>
              <w:top w:val="nil"/>
              <w:left w:val="nil"/>
              <w:bottom w:val="single" w:sz="4" w:space="0" w:color="auto"/>
              <w:right w:val="single" w:sz="4" w:space="0" w:color="auto"/>
            </w:tcBorders>
            <w:shd w:val="clear" w:color="000000" w:fill="FCE4D6"/>
            <w:noWrap/>
            <w:vAlign w:val="center"/>
            <w:hideMark/>
          </w:tcPr>
          <w:p w14:paraId="5B5AB313"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-31.6</w:t>
            </w:r>
          </w:p>
        </w:tc>
        <w:tc>
          <w:tcPr>
            <w:tcW w:w="0" w:type="auto"/>
            <w:tcBorders>
              <w:top w:val="nil"/>
              <w:left w:val="nil"/>
              <w:bottom w:val="single" w:sz="4" w:space="0" w:color="auto"/>
              <w:right w:val="single" w:sz="4" w:space="0" w:color="auto"/>
            </w:tcBorders>
            <w:shd w:val="clear" w:color="000000" w:fill="FCE4D6"/>
            <w:noWrap/>
            <w:vAlign w:val="center"/>
            <w:hideMark/>
          </w:tcPr>
          <w:p w14:paraId="4194D7B7"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1.1</w:t>
            </w:r>
          </w:p>
        </w:tc>
        <w:tc>
          <w:tcPr>
            <w:tcW w:w="0" w:type="auto"/>
            <w:tcBorders>
              <w:top w:val="nil"/>
              <w:left w:val="nil"/>
              <w:bottom w:val="single" w:sz="4" w:space="0" w:color="auto"/>
              <w:right w:val="single" w:sz="4" w:space="0" w:color="auto"/>
            </w:tcBorders>
            <w:shd w:val="clear" w:color="000000" w:fill="FFF2CC"/>
            <w:noWrap/>
            <w:vAlign w:val="center"/>
            <w:hideMark/>
          </w:tcPr>
          <w:p w14:paraId="06244BF8"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-31.6</w:t>
            </w:r>
          </w:p>
        </w:tc>
        <w:tc>
          <w:tcPr>
            <w:tcW w:w="0" w:type="auto"/>
            <w:tcBorders>
              <w:top w:val="nil"/>
              <w:left w:val="nil"/>
              <w:bottom w:val="single" w:sz="4" w:space="0" w:color="auto"/>
              <w:right w:val="single" w:sz="4" w:space="0" w:color="auto"/>
            </w:tcBorders>
            <w:shd w:val="clear" w:color="000000" w:fill="FFF2CC"/>
            <w:noWrap/>
            <w:vAlign w:val="center"/>
            <w:hideMark/>
          </w:tcPr>
          <w:p w14:paraId="39831D52"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1.1</w:t>
            </w:r>
          </w:p>
        </w:tc>
        <w:tc>
          <w:tcPr>
            <w:tcW w:w="0" w:type="auto"/>
            <w:tcBorders>
              <w:top w:val="nil"/>
              <w:left w:val="nil"/>
              <w:bottom w:val="single" w:sz="4" w:space="0" w:color="auto"/>
              <w:right w:val="single" w:sz="4" w:space="0" w:color="auto"/>
            </w:tcBorders>
            <w:shd w:val="clear" w:color="000000" w:fill="FCE4D6"/>
            <w:noWrap/>
            <w:vAlign w:val="center"/>
            <w:hideMark/>
          </w:tcPr>
          <w:p w14:paraId="76089D6A"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15.9</w:t>
            </w:r>
          </w:p>
        </w:tc>
        <w:tc>
          <w:tcPr>
            <w:tcW w:w="0" w:type="auto"/>
            <w:tcBorders>
              <w:top w:val="nil"/>
              <w:left w:val="nil"/>
              <w:bottom w:val="single" w:sz="4" w:space="0" w:color="auto"/>
              <w:right w:val="single" w:sz="4" w:space="0" w:color="auto"/>
            </w:tcBorders>
            <w:shd w:val="clear" w:color="000000" w:fill="FCE4D6"/>
            <w:noWrap/>
            <w:vAlign w:val="center"/>
            <w:hideMark/>
          </w:tcPr>
          <w:p w14:paraId="438BE86A" w14:textId="58B6D1DE"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1</w:t>
            </w:r>
            <w:r w:rsidR="008E7E02">
              <w:rPr>
                <w:rFonts w:ascii="Calibri" w:eastAsia="Times New Roman" w:hAnsi="Calibri" w:cs="Calibri"/>
                <w:color w:val="000000"/>
              </w:rPr>
              <w:t>3</w:t>
            </w:r>
            <w:r w:rsidRPr="00587171">
              <w:rPr>
                <w:rFonts w:ascii="Calibri" w:eastAsia="Times New Roman" w:hAnsi="Calibri" w:cs="Calibri"/>
                <w:color w:val="000000"/>
              </w:rPr>
              <w:t>.1</w:t>
            </w:r>
          </w:p>
        </w:tc>
        <w:tc>
          <w:tcPr>
            <w:tcW w:w="0" w:type="auto"/>
            <w:tcBorders>
              <w:top w:val="nil"/>
              <w:left w:val="nil"/>
              <w:bottom w:val="single" w:sz="4" w:space="0" w:color="auto"/>
              <w:right w:val="single" w:sz="4" w:space="0" w:color="auto"/>
            </w:tcBorders>
            <w:shd w:val="clear" w:color="000000" w:fill="FFF2CC"/>
            <w:noWrap/>
            <w:vAlign w:val="center"/>
            <w:hideMark/>
          </w:tcPr>
          <w:p w14:paraId="695FFC8D"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15.9</w:t>
            </w:r>
          </w:p>
        </w:tc>
        <w:tc>
          <w:tcPr>
            <w:tcW w:w="0" w:type="auto"/>
            <w:tcBorders>
              <w:top w:val="nil"/>
              <w:left w:val="nil"/>
              <w:bottom w:val="single" w:sz="4" w:space="0" w:color="auto"/>
              <w:right w:val="single" w:sz="4" w:space="0" w:color="auto"/>
            </w:tcBorders>
            <w:shd w:val="clear" w:color="000000" w:fill="FFF2CC"/>
            <w:noWrap/>
            <w:vAlign w:val="center"/>
            <w:hideMark/>
          </w:tcPr>
          <w:p w14:paraId="2268A975" w14:textId="789E134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1</w:t>
            </w:r>
            <w:r w:rsidR="008E7E02">
              <w:rPr>
                <w:rFonts w:ascii="Calibri" w:eastAsia="Times New Roman" w:hAnsi="Calibri" w:cs="Calibri"/>
                <w:color w:val="000000"/>
              </w:rPr>
              <w:t>3</w:t>
            </w:r>
            <w:r w:rsidRPr="00587171">
              <w:rPr>
                <w:rFonts w:ascii="Calibri" w:eastAsia="Times New Roman" w:hAnsi="Calibri" w:cs="Calibri"/>
                <w:color w:val="000000"/>
              </w:rPr>
              <w:t>.1</w:t>
            </w:r>
          </w:p>
        </w:tc>
      </w:tr>
      <w:tr w:rsidR="00587171" w:rsidRPr="00587171" w14:paraId="41CE36EB" w14:textId="77777777" w:rsidTr="00605A30">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2CD4440"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Bandwidth [Hz]</w:t>
            </w:r>
          </w:p>
        </w:tc>
        <w:tc>
          <w:tcPr>
            <w:tcW w:w="0" w:type="auto"/>
            <w:tcBorders>
              <w:top w:val="nil"/>
              <w:left w:val="nil"/>
              <w:bottom w:val="single" w:sz="4" w:space="0" w:color="auto"/>
              <w:right w:val="single" w:sz="4" w:space="0" w:color="auto"/>
            </w:tcBorders>
            <w:shd w:val="clear" w:color="000000" w:fill="FCE4D6"/>
            <w:noWrap/>
            <w:vAlign w:val="center"/>
            <w:hideMark/>
          </w:tcPr>
          <w:p w14:paraId="1830A308"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180000</w:t>
            </w:r>
          </w:p>
        </w:tc>
        <w:tc>
          <w:tcPr>
            <w:tcW w:w="0" w:type="auto"/>
            <w:tcBorders>
              <w:top w:val="nil"/>
              <w:left w:val="nil"/>
              <w:bottom w:val="single" w:sz="4" w:space="0" w:color="auto"/>
              <w:right w:val="single" w:sz="4" w:space="0" w:color="auto"/>
            </w:tcBorders>
            <w:shd w:val="clear" w:color="000000" w:fill="FCE4D6"/>
            <w:noWrap/>
            <w:vAlign w:val="center"/>
            <w:hideMark/>
          </w:tcPr>
          <w:p w14:paraId="1CEB3A28"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180000</w:t>
            </w:r>
          </w:p>
        </w:tc>
        <w:tc>
          <w:tcPr>
            <w:tcW w:w="0" w:type="auto"/>
            <w:tcBorders>
              <w:top w:val="nil"/>
              <w:left w:val="nil"/>
              <w:bottom w:val="single" w:sz="4" w:space="0" w:color="auto"/>
              <w:right w:val="single" w:sz="4" w:space="0" w:color="auto"/>
            </w:tcBorders>
            <w:shd w:val="clear" w:color="000000" w:fill="FFF2CC"/>
            <w:noWrap/>
            <w:vAlign w:val="center"/>
            <w:hideMark/>
          </w:tcPr>
          <w:p w14:paraId="0722D89E"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180000</w:t>
            </w:r>
          </w:p>
        </w:tc>
        <w:tc>
          <w:tcPr>
            <w:tcW w:w="0" w:type="auto"/>
            <w:tcBorders>
              <w:top w:val="nil"/>
              <w:left w:val="nil"/>
              <w:bottom w:val="single" w:sz="4" w:space="0" w:color="auto"/>
              <w:right w:val="single" w:sz="4" w:space="0" w:color="auto"/>
            </w:tcBorders>
            <w:shd w:val="clear" w:color="000000" w:fill="FFF2CC"/>
            <w:noWrap/>
            <w:vAlign w:val="center"/>
            <w:hideMark/>
          </w:tcPr>
          <w:p w14:paraId="5EDCCED5"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180000</w:t>
            </w:r>
          </w:p>
        </w:tc>
        <w:tc>
          <w:tcPr>
            <w:tcW w:w="0" w:type="auto"/>
            <w:tcBorders>
              <w:top w:val="nil"/>
              <w:left w:val="nil"/>
              <w:bottom w:val="single" w:sz="4" w:space="0" w:color="auto"/>
              <w:right w:val="single" w:sz="4" w:space="0" w:color="auto"/>
            </w:tcBorders>
            <w:shd w:val="clear" w:color="000000" w:fill="FCE4D6"/>
            <w:noWrap/>
            <w:vAlign w:val="center"/>
            <w:hideMark/>
          </w:tcPr>
          <w:p w14:paraId="57F7AC60"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180000</w:t>
            </w:r>
          </w:p>
        </w:tc>
        <w:tc>
          <w:tcPr>
            <w:tcW w:w="0" w:type="auto"/>
            <w:tcBorders>
              <w:top w:val="nil"/>
              <w:left w:val="nil"/>
              <w:bottom w:val="single" w:sz="4" w:space="0" w:color="auto"/>
              <w:right w:val="single" w:sz="4" w:space="0" w:color="auto"/>
            </w:tcBorders>
            <w:shd w:val="clear" w:color="000000" w:fill="FCE4D6"/>
            <w:noWrap/>
            <w:vAlign w:val="center"/>
            <w:hideMark/>
          </w:tcPr>
          <w:p w14:paraId="539CC766" w14:textId="3A7FADF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4E+08</w:t>
            </w:r>
          </w:p>
        </w:tc>
        <w:tc>
          <w:tcPr>
            <w:tcW w:w="0" w:type="auto"/>
            <w:tcBorders>
              <w:top w:val="nil"/>
              <w:left w:val="nil"/>
              <w:bottom w:val="single" w:sz="4" w:space="0" w:color="auto"/>
              <w:right w:val="single" w:sz="4" w:space="0" w:color="auto"/>
            </w:tcBorders>
            <w:shd w:val="clear" w:color="000000" w:fill="FFF2CC"/>
            <w:noWrap/>
            <w:vAlign w:val="center"/>
            <w:hideMark/>
          </w:tcPr>
          <w:p w14:paraId="409A7CCE"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180000</w:t>
            </w:r>
          </w:p>
        </w:tc>
        <w:tc>
          <w:tcPr>
            <w:tcW w:w="0" w:type="auto"/>
            <w:tcBorders>
              <w:top w:val="nil"/>
              <w:left w:val="nil"/>
              <w:bottom w:val="single" w:sz="4" w:space="0" w:color="auto"/>
              <w:right w:val="single" w:sz="4" w:space="0" w:color="auto"/>
            </w:tcBorders>
            <w:shd w:val="clear" w:color="000000" w:fill="FFF2CC"/>
            <w:noWrap/>
            <w:vAlign w:val="center"/>
            <w:hideMark/>
          </w:tcPr>
          <w:p w14:paraId="01B2C222" w14:textId="4F41A27D"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4E+08</w:t>
            </w:r>
          </w:p>
        </w:tc>
      </w:tr>
      <w:tr w:rsidR="00587171" w:rsidRPr="00587171" w14:paraId="3DECF81C" w14:textId="77777777" w:rsidTr="00605A30">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F1DA16E" w14:textId="77777777" w:rsidR="00587171" w:rsidRPr="00F22649" w:rsidRDefault="00587171" w:rsidP="00587171">
            <w:pPr>
              <w:spacing w:after="0" w:line="240" w:lineRule="auto"/>
              <w:jc w:val="center"/>
              <w:rPr>
                <w:rFonts w:ascii="Calibri" w:eastAsia="Times New Roman" w:hAnsi="Calibri" w:cs="Calibri"/>
                <w:color w:val="000000"/>
              </w:rPr>
            </w:pPr>
            <w:r w:rsidRPr="00F22649">
              <w:rPr>
                <w:rFonts w:ascii="Calibri" w:eastAsia="Times New Roman" w:hAnsi="Calibri" w:cs="Calibri"/>
                <w:color w:val="000000"/>
              </w:rPr>
              <w:t>Free space path loss (PL) [dB]</w:t>
            </w:r>
          </w:p>
        </w:tc>
        <w:tc>
          <w:tcPr>
            <w:tcW w:w="0" w:type="auto"/>
            <w:tcBorders>
              <w:top w:val="nil"/>
              <w:left w:val="nil"/>
              <w:bottom w:val="single" w:sz="4" w:space="0" w:color="auto"/>
              <w:right w:val="single" w:sz="4" w:space="0" w:color="auto"/>
            </w:tcBorders>
            <w:shd w:val="clear" w:color="000000" w:fill="FCE4D6"/>
            <w:noWrap/>
            <w:vAlign w:val="center"/>
            <w:hideMark/>
          </w:tcPr>
          <w:p w14:paraId="53AB2C9E"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159.1</w:t>
            </w:r>
          </w:p>
        </w:tc>
        <w:tc>
          <w:tcPr>
            <w:tcW w:w="0" w:type="auto"/>
            <w:tcBorders>
              <w:top w:val="nil"/>
              <w:left w:val="nil"/>
              <w:bottom w:val="single" w:sz="4" w:space="0" w:color="auto"/>
              <w:right w:val="single" w:sz="4" w:space="0" w:color="auto"/>
            </w:tcBorders>
            <w:shd w:val="clear" w:color="000000" w:fill="FCE4D6"/>
            <w:noWrap/>
            <w:vAlign w:val="center"/>
            <w:hideMark/>
          </w:tcPr>
          <w:p w14:paraId="68DB931F"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159.1</w:t>
            </w:r>
          </w:p>
        </w:tc>
        <w:tc>
          <w:tcPr>
            <w:tcW w:w="0" w:type="auto"/>
            <w:tcBorders>
              <w:top w:val="nil"/>
              <w:left w:val="nil"/>
              <w:bottom w:val="single" w:sz="4" w:space="0" w:color="auto"/>
              <w:right w:val="single" w:sz="4" w:space="0" w:color="auto"/>
            </w:tcBorders>
            <w:shd w:val="clear" w:color="000000" w:fill="FFF2CC"/>
            <w:noWrap/>
            <w:vAlign w:val="center"/>
            <w:hideMark/>
          </w:tcPr>
          <w:p w14:paraId="4AA7F16A"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164.5</w:t>
            </w:r>
          </w:p>
        </w:tc>
        <w:tc>
          <w:tcPr>
            <w:tcW w:w="0" w:type="auto"/>
            <w:tcBorders>
              <w:top w:val="nil"/>
              <w:left w:val="nil"/>
              <w:bottom w:val="single" w:sz="4" w:space="0" w:color="auto"/>
              <w:right w:val="single" w:sz="4" w:space="0" w:color="auto"/>
            </w:tcBorders>
            <w:shd w:val="clear" w:color="000000" w:fill="FFF2CC"/>
            <w:noWrap/>
            <w:vAlign w:val="center"/>
            <w:hideMark/>
          </w:tcPr>
          <w:p w14:paraId="27E55197"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164.5</w:t>
            </w:r>
          </w:p>
        </w:tc>
        <w:tc>
          <w:tcPr>
            <w:tcW w:w="0" w:type="auto"/>
            <w:tcBorders>
              <w:top w:val="nil"/>
              <w:left w:val="nil"/>
              <w:bottom w:val="single" w:sz="4" w:space="0" w:color="auto"/>
              <w:right w:val="single" w:sz="4" w:space="0" w:color="auto"/>
            </w:tcBorders>
            <w:shd w:val="clear" w:color="000000" w:fill="FCE4D6"/>
            <w:noWrap/>
            <w:vAlign w:val="center"/>
            <w:hideMark/>
          </w:tcPr>
          <w:p w14:paraId="2377DEC8"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179.1</w:t>
            </w:r>
          </w:p>
        </w:tc>
        <w:tc>
          <w:tcPr>
            <w:tcW w:w="0" w:type="auto"/>
            <w:tcBorders>
              <w:top w:val="nil"/>
              <w:left w:val="nil"/>
              <w:bottom w:val="single" w:sz="4" w:space="0" w:color="auto"/>
              <w:right w:val="single" w:sz="4" w:space="0" w:color="auto"/>
            </w:tcBorders>
            <w:shd w:val="clear" w:color="000000" w:fill="FCE4D6"/>
            <w:noWrap/>
            <w:vAlign w:val="center"/>
            <w:hideMark/>
          </w:tcPr>
          <w:p w14:paraId="48AA58BA"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182.6</w:t>
            </w:r>
          </w:p>
        </w:tc>
        <w:tc>
          <w:tcPr>
            <w:tcW w:w="0" w:type="auto"/>
            <w:tcBorders>
              <w:top w:val="nil"/>
              <w:left w:val="nil"/>
              <w:bottom w:val="single" w:sz="4" w:space="0" w:color="auto"/>
              <w:right w:val="single" w:sz="4" w:space="0" w:color="auto"/>
            </w:tcBorders>
            <w:shd w:val="clear" w:color="000000" w:fill="FFF2CC"/>
            <w:noWrap/>
            <w:vAlign w:val="center"/>
            <w:hideMark/>
          </w:tcPr>
          <w:p w14:paraId="4A1AA8A4"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184.5</w:t>
            </w:r>
          </w:p>
        </w:tc>
        <w:tc>
          <w:tcPr>
            <w:tcW w:w="0" w:type="auto"/>
            <w:tcBorders>
              <w:top w:val="nil"/>
              <w:left w:val="nil"/>
              <w:bottom w:val="single" w:sz="4" w:space="0" w:color="auto"/>
              <w:right w:val="single" w:sz="4" w:space="0" w:color="auto"/>
            </w:tcBorders>
            <w:shd w:val="clear" w:color="000000" w:fill="FFF2CC"/>
            <w:noWrap/>
            <w:vAlign w:val="center"/>
            <w:hideMark/>
          </w:tcPr>
          <w:p w14:paraId="7BC489F2"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188.0</w:t>
            </w:r>
          </w:p>
        </w:tc>
      </w:tr>
      <w:tr w:rsidR="00E94A94" w:rsidRPr="00587171" w14:paraId="6C412DB3" w14:textId="77777777" w:rsidTr="00605A30">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6F712ED" w14:textId="77777777" w:rsidR="00E94A94" w:rsidRPr="00587171" w:rsidRDefault="00E94A94" w:rsidP="00E94A94">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Atmospheric loss (LA)</w:t>
            </w:r>
          </w:p>
        </w:tc>
        <w:tc>
          <w:tcPr>
            <w:tcW w:w="0" w:type="auto"/>
            <w:tcBorders>
              <w:top w:val="nil"/>
              <w:left w:val="nil"/>
              <w:bottom w:val="single" w:sz="4" w:space="0" w:color="auto"/>
              <w:right w:val="single" w:sz="4" w:space="0" w:color="auto"/>
            </w:tcBorders>
            <w:shd w:val="clear" w:color="000000" w:fill="FCE4D6"/>
            <w:noWrap/>
            <w:vAlign w:val="center"/>
            <w:hideMark/>
          </w:tcPr>
          <w:p w14:paraId="2C3CA3AB" w14:textId="2403735F" w:rsidR="00E94A94" w:rsidRPr="00EB66AE" w:rsidRDefault="00E94A94" w:rsidP="00E94A94">
            <w:pPr>
              <w:spacing w:after="0" w:line="240" w:lineRule="auto"/>
              <w:jc w:val="center"/>
              <w:rPr>
                <w:rFonts w:ascii="Calibri" w:eastAsia="Times New Roman" w:hAnsi="Calibri" w:cs="Calibri"/>
              </w:rPr>
            </w:pPr>
            <w:r w:rsidRPr="00EB66AE">
              <w:rPr>
                <w:rFonts w:ascii="Calibri" w:eastAsia="Times New Roman" w:hAnsi="Calibri" w:cs="Calibri"/>
              </w:rPr>
              <w:t>0.1</w:t>
            </w:r>
          </w:p>
        </w:tc>
        <w:tc>
          <w:tcPr>
            <w:tcW w:w="0" w:type="auto"/>
            <w:tcBorders>
              <w:top w:val="nil"/>
              <w:left w:val="nil"/>
              <w:bottom w:val="single" w:sz="4" w:space="0" w:color="auto"/>
              <w:right w:val="single" w:sz="4" w:space="0" w:color="auto"/>
            </w:tcBorders>
            <w:shd w:val="clear" w:color="000000" w:fill="FCE4D6"/>
            <w:noWrap/>
            <w:vAlign w:val="center"/>
            <w:hideMark/>
          </w:tcPr>
          <w:p w14:paraId="2D5FA473" w14:textId="336DD4CF" w:rsidR="00E94A94" w:rsidRPr="00EB66AE" w:rsidRDefault="00E94A94" w:rsidP="00E94A94">
            <w:pPr>
              <w:spacing w:after="0" w:line="240" w:lineRule="auto"/>
              <w:jc w:val="center"/>
              <w:rPr>
                <w:rFonts w:ascii="Calibri" w:eastAsia="Times New Roman" w:hAnsi="Calibri" w:cs="Calibri"/>
              </w:rPr>
            </w:pPr>
            <w:r w:rsidRPr="00EB66AE">
              <w:rPr>
                <w:rFonts w:ascii="Calibri" w:eastAsia="Times New Roman" w:hAnsi="Calibri" w:cs="Calibri"/>
              </w:rPr>
              <w:t>0.1</w:t>
            </w:r>
          </w:p>
        </w:tc>
        <w:tc>
          <w:tcPr>
            <w:tcW w:w="0" w:type="auto"/>
            <w:tcBorders>
              <w:top w:val="nil"/>
              <w:left w:val="nil"/>
              <w:bottom w:val="single" w:sz="4" w:space="0" w:color="auto"/>
              <w:right w:val="single" w:sz="4" w:space="0" w:color="auto"/>
            </w:tcBorders>
            <w:shd w:val="clear" w:color="000000" w:fill="FFF2CC"/>
            <w:noWrap/>
            <w:vAlign w:val="center"/>
            <w:hideMark/>
          </w:tcPr>
          <w:p w14:paraId="493494A3" w14:textId="1789E61D" w:rsidR="00E94A94" w:rsidRPr="00EB66AE" w:rsidRDefault="00E94A94" w:rsidP="00E94A94">
            <w:pPr>
              <w:spacing w:after="0" w:line="240" w:lineRule="auto"/>
              <w:jc w:val="center"/>
              <w:rPr>
                <w:rFonts w:ascii="Calibri" w:eastAsia="Times New Roman" w:hAnsi="Calibri" w:cs="Calibri"/>
              </w:rPr>
            </w:pPr>
            <w:r w:rsidRPr="00EB66AE">
              <w:rPr>
                <w:rFonts w:ascii="Calibri" w:eastAsia="Times New Roman" w:hAnsi="Calibri" w:cs="Calibri"/>
              </w:rPr>
              <w:t>0.1</w:t>
            </w:r>
          </w:p>
        </w:tc>
        <w:tc>
          <w:tcPr>
            <w:tcW w:w="0" w:type="auto"/>
            <w:tcBorders>
              <w:top w:val="nil"/>
              <w:left w:val="nil"/>
              <w:bottom w:val="single" w:sz="4" w:space="0" w:color="auto"/>
              <w:right w:val="single" w:sz="4" w:space="0" w:color="auto"/>
            </w:tcBorders>
            <w:shd w:val="clear" w:color="000000" w:fill="FFF2CC"/>
            <w:noWrap/>
            <w:vAlign w:val="center"/>
            <w:hideMark/>
          </w:tcPr>
          <w:p w14:paraId="01370849" w14:textId="204DA301" w:rsidR="00E94A94" w:rsidRPr="00EB66AE" w:rsidRDefault="00E94A94" w:rsidP="00E94A94">
            <w:pPr>
              <w:spacing w:after="0" w:line="240" w:lineRule="auto"/>
              <w:jc w:val="center"/>
              <w:rPr>
                <w:rFonts w:ascii="Calibri" w:eastAsia="Times New Roman" w:hAnsi="Calibri" w:cs="Calibri"/>
              </w:rPr>
            </w:pPr>
            <w:r w:rsidRPr="00EB66AE">
              <w:rPr>
                <w:rFonts w:ascii="Calibri" w:eastAsia="Times New Roman" w:hAnsi="Calibri" w:cs="Calibri"/>
              </w:rPr>
              <w:t>0.1</w:t>
            </w:r>
          </w:p>
        </w:tc>
        <w:tc>
          <w:tcPr>
            <w:tcW w:w="0" w:type="auto"/>
            <w:tcBorders>
              <w:top w:val="nil"/>
              <w:left w:val="nil"/>
              <w:bottom w:val="single" w:sz="4" w:space="0" w:color="auto"/>
              <w:right w:val="single" w:sz="4" w:space="0" w:color="auto"/>
            </w:tcBorders>
            <w:shd w:val="clear" w:color="000000" w:fill="FCE4D6"/>
            <w:noWrap/>
            <w:vAlign w:val="center"/>
            <w:hideMark/>
          </w:tcPr>
          <w:p w14:paraId="37458E8B" w14:textId="77777777" w:rsidR="00E94A94" w:rsidRPr="00EB66AE" w:rsidRDefault="00E94A94" w:rsidP="00E94A94">
            <w:pPr>
              <w:spacing w:after="0" w:line="240" w:lineRule="auto"/>
              <w:jc w:val="center"/>
              <w:rPr>
                <w:rFonts w:ascii="Calibri" w:eastAsia="Times New Roman" w:hAnsi="Calibri" w:cs="Calibri"/>
              </w:rPr>
            </w:pPr>
            <w:r w:rsidRPr="00EB66AE">
              <w:rPr>
                <w:rFonts w:ascii="Calibri" w:eastAsia="Times New Roman" w:hAnsi="Calibri" w:cs="Calibri"/>
              </w:rPr>
              <w:t>0</w:t>
            </w:r>
          </w:p>
        </w:tc>
        <w:tc>
          <w:tcPr>
            <w:tcW w:w="0" w:type="auto"/>
            <w:tcBorders>
              <w:top w:val="nil"/>
              <w:left w:val="nil"/>
              <w:bottom w:val="single" w:sz="4" w:space="0" w:color="auto"/>
              <w:right w:val="single" w:sz="4" w:space="0" w:color="auto"/>
            </w:tcBorders>
            <w:shd w:val="clear" w:color="000000" w:fill="FCE4D6"/>
            <w:noWrap/>
            <w:vAlign w:val="center"/>
            <w:hideMark/>
          </w:tcPr>
          <w:p w14:paraId="027A42EB" w14:textId="77777777" w:rsidR="00E94A94" w:rsidRPr="00EB66AE" w:rsidRDefault="00E94A94" w:rsidP="00E94A94">
            <w:pPr>
              <w:spacing w:after="0" w:line="240" w:lineRule="auto"/>
              <w:jc w:val="center"/>
              <w:rPr>
                <w:rFonts w:ascii="Calibri" w:eastAsia="Times New Roman" w:hAnsi="Calibri" w:cs="Calibri"/>
              </w:rPr>
            </w:pPr>
            <w:r w:rsidRPr="00EB66AE">
              <w:rPr>
                <w:rFonts w:ascii="Calibri" w:eastAsia="Times New Roman" w:hAnsi="Calibri" w:cs="Calibri"/>
              </w:rPr>
              <w:t>0</w:t>
            </w:r>
          </w:p>
        </w:tc>
        <w:tc>
          <w:tcPr>
            <w:tcW w:w="0" w:type="auto"/>
            <w:tcBorders>
              <w:top w:val="nil"/>
              <w:left w:val="nil"/>
              <w:bottom w:val="single" w:sz="4" w:space="0" w:color="auto"/>
              <w:right w:val="single" w:sz="4" w:space="0" w:color="auto"/>
            </w:tcBorders>
            <w:shd w:val="clear" w:color="000000" w:fill="FFF2CC"/>
            <w:noWrap/>
            <w:vAlign w:val="center"/>
            <w:hideMark/>
          </w:tcPr>
          <w:p w14:paraId="2765D6D6" w14:textId="77777777" w:rsidR="00E94A94" w:rsidRPr="00EB66AE" w:rsidRDefault="00E94A94" w:rsidP="00E94A94">
            <w:pPr>
              <w:spacing w:after="0" w:line="240" w:lineRule="auto"/>
              <w:jc w:val="center"/>
              <w:rPr>
                <w:rFonts w:ascii="Calibri" w:eastAsia="Times New Roman" w:hAnsi="Calibri" w:cs="Calibri"/>
              </w:rPr>
            </w:pPr>
            <w:r w:rsidRPr="00EB66AE">
              <w:rPr>
                <w:rFonts w:ascii="Calibri" w:eastAsia="Times New Roman" w:hAnsi="Calibri" w:cs="Calibri"/>
              </w:rPr>
              <w:t>0</w:t>
            </w:r>
          </w:p>
        </w:tc>
        <w:tc>
          <w:tcPr>
            <w:tcW w:w="0" w:type="auto"/>
            <w:tcBorders>
              <w:top w:val="nil"/>
              <w:left w:val="nil"/>
              <w:bottom w:val="single" w:sz="4" w:space="0" w:color="auto"/>
              <w:right w:val="single" w:sz="4" w:space="0" w:color="auto"/>
            </w:tcBorders>
            <w:shd w:val="clear" w:color="000000" w:fill="FFF2CC"/>
            <w:noWrap/>
            <w:vAlign w:val="center"/>
            <w:hideMark/>
          </w:tcPr>
          <w:p w14:paraId="08EFA2B2" w14:textId="77777777" w:rsidR="00E94A94" w:rsidRPr="00EB66AE" w:rsidRDefault="00E94A94" w:rsidP="00E94A94">
            <w:pPr>
              <w:spacing w:after="0" w:line="240" w:lineRule="auto"/>
              <w:jc w:val="center"/>
              <w:rPr>
                <w:rFonts w:ascii="Calibri" w:eastAsia="Times New Roman" w:hAnsi="Calibri" w:cs="Calibri"/>
              </w:rPr>
            </w:pPr>
            <w:r w:rsidRPr="00EB66AE">
              <w:rPr>
                <w:rFonts w:ascii="Calibri" w:eastAsia="Times New Roman" w:hAnsi="Calibri" w:cs="Calibri"/>
              </w:rPr>
              <w:t>0</w:t>
            </w:r>
          </w:p>
        </w:tc>
      </w:tr>
      <w:tr w:rsidR="00587171" w:rsidRPr="00587171" w14:paraId="64E4127B" w14:textId="77777777" w:rsidTr="00605A30">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B831E38" w14:textId="77777777" w:rsidR="00587171" w:rsidRPr="00F22649" w:rsidRDefault="00587171" w:rsidP="00587171">
            <w:pPr>
              <w:spacing w:after="0" w:line="240" w:lineRule="auto"/>
              <w:jc w:val="center"/>
              <w:rPr>
                <w:rFonts w:ascii="Calibri" w:eastAsia="Times New Roman" w:hAnsi="Calibri" w:cs="Calibri"/>
                <w:color w:val="000000"/>
              </w:rPr>
            </w:pPr>
            <w:r w:rsidRPr="00F22649">
              <w:rPr>
                <w:rFonts w:ascii="Calibri" w:eastAsia="Times New Roman" w:hAnsi="Calibri" w:cs="Calibri"/>
                <w:color w:val="000000"/>
              </w:rPr>
              <w:t>Shadow fading margin (SF) [dB]</w:t>
            </w:r>
          </w:p>
        </w:tc>
        <w:tc>
          <w:tcPr>
            <w:tcW w:w="0" w:type="auto"/>
            <w:tcBorders>
              <w:top w:val="nil"/>
              <w:left w:val="nil"/>
              <w:bottom w:val="single" w:sz="4" w:space="0" w:color="auto"/>
              <w:right w:val="single" w:sz="4" w:space="0" w:color="auto"/>
            </w:tcBorders>
            <w:shd w:val="clear" w:color="000000" w:fill="FCE4D6"/>
            <w:noWrap/>
            <w:vAlign w:val="center"/>
            <w:hideMark/>
          </w:tcPr>
          <w:p w14:paraId="75F26BE2" w14:textId="77777777" w:rsidR="00587171" w:rsidRPr="00EB66AE" w:rsidRDefault="00587171" w:rsidP="00587171">
            <w:pPr>
              <w:spacing w:after="0" w:line="240" w:lineRule="auto"/>
              <w:jc w:val="center"/>
              <w:rPr>
                <w:rFonts w:ascii="Calibri" w:eastAsia="Times New Roman" w:hAnsi="Calibri" w:cs="Calibri"/>
              </w:rPr>
            </w:pPr>
            <w:r w:rsidRPr="00EB66AE">
              <w:rPr>
                <w:rFonts w:ascii="Calibri" w:eastAsia="Times New Roman" w:hAnsi="Calibri" w:cs="Calibri"/>
              </w:rPr>
              <w:t>3</w:t>
            </w:r>
          </w:p>
        </w:tc>
        <w:tc>
          <w:tcPr>
            <w:tcW w:w="0" w:type="auto"/>
            <w:tcBorders>
              <w:top w:val="nil"/>
              <w:left w:val="nil"/>
              <w:bottom w:val="single" w:sz="4" w:space="0" w:color="auto"/>
              <w:right w:val="single" w:sz="4" w:space="0" w:color="auto"/>
            </w:tcBorders>
            <w:shd w:val="clear" w:color="000000" w:fill="FCE4D6"/>
            <w:noWrap/>
            <w:vAlign w:val="center"/>
            <w:hideMark/>
          </w:tcPr>
          <w:p w14:paraId="7021C28C" w14:textId="77777777" w:rsidR="00587171" w:rsidRPr="00EB66AE" w:rsidRDefault="00587171" w:rsidP="00587171">
            <w:pPr>
              <w:spacing w:after="0" w:line="240" w:lineRule="auto"/>
              <w:jc w:val="center"/>
              <w:rPr>
                <w:rFonts w:ascii="Calibri" w:eastAsia="Times New Roman" w:hAnsi="Calibri" w:cs="Calibri"/>
              </w:rPr>
            </w:pPr>
            <w:r w:rsidRPr="00EB66AE">
              <w:rPr>
                <w:rFonts w:ascii="Calibri" w:eastAsia="Times New Roman" w:hAnsi="Calibri" w:cs="Calibri"/>
              </w:rPr>
              <w:t>3</w:t>
            </w:r>
          </w:p>
        </w:tc>
        <w:tc>
          <w:tcPr>
            <w:tcW w:w="0" w:type="auto"/>
            <w:tcBorders>
              <w:top w:val="nil"/>
              <w:left w:val="nil"/>
              <w:bottom w:val="single" w:sz="4" w:space="0" w:color="auto"/>
              <w:right w:val="single" w:sz="4" w:space="0" w:color="auto"/>
            </w:tcBorders>
            <w:shd w:val="clear" w:color="000000" w:fill="FFF2CC"/>
            <w:noWrap/>
            <w:vAlign w:val="center"/>
            <w:hideMark/>
          </w:tcPr>
          <w:p w14:paraId="5A316207" w14:textId="77777777" w:rsidR="00587171" w:rsidRPr="00EB66AE" w:rsidRDefault="00587171" w:rsidP="00587171">
            <w:pPr>
              <w:spacing w:after="0" w:line="240" w:lineRule="auto"/>
              <w:jc w:val="center"/>
              <w:rPr>
                <w:rFonts w:ascii="Calibri" w:eastAsia="Times New Roman" w:hAnsi="Calibri" w:cs="Calibri"/>
              </w:rPr>
            </w:pPr>
            <w:r w:rsidRPr="00EB66AE">
              <w:rPr>
                <w:rFonts w:ascii="Calibri" w:eastAsia="Times New Roman" w:hAnsi="Calibri" w:cs="Calibri"/>
              </w:rPr>
              <w:t>3</w:t>
            </w:r>
          </w:p>
        </w:tc>
        <w:tc>
          <w:tcPr>
            <w:tcW w:w="0" w:type="auto"/>
            <w:tcBorders>
              <w:top w:val="nil"/>
              <w:left w:val="nil"/>
              <w:bottom w:val="single" w:sz="4" w:space="0" w:color="auto"/>
              <w:right w:val="single" w:sz="4" w:space="0" w:color="auto"/>
            </w:tcBorders>
            <w:shd w:val="clear" w:color="000000" w:fill="FFF2CC"/>
            <w:noWrap/>
            <w:vAlign w:val="center"/>
            <w:hideMark/>
          </w:tcPr>
          <w:p w14:paraId="338A9969" w14:textId="77777777" w:rsidR="00587171" w:rsidRPr="00EB66AE" w:rsidRDefault="00587171" w:rsidP="00587171">
            <w:pPr>
              <w:spacing w:after="0" w:line="240" w:lineRule="auto"/>
              <w:jc w:val="center"/>
              <w:rPr>
                <w:rFonts w:ascii="Calibri" w:eastAsia="Times New Roman" w:hAnsi="Calibri" w:cs="Calibri"/>
              </w:rPr>
            </w:pPr>
            <w:r w:rsidRPr="00EB66AE">
              <w:rPr>
                <w:rFonts w:ascii="Calibri" w:eastAsia="Times New Roman" w:hAnsi="Calibri" w:cs="Calibri"/>
              </w:rPr>
              <w:t>3</w:t>
            </w:r>
          </w:p>
        </w:tc>
        <w:tc>
          <w:tcPr>
            <w:tcW w:w="0" w:type="auto"/>
            <w:tcBorders>
              <w:top w:val="nil"/>
              <w:left w:val="nil"/>
              <w:bottom w:val="single" w:sz="4" w:space="0" w:color="auto"/>
              <w:right w:val="single" w:sz="4" w:space="0" w:color="auto"/>
            </w:tcBorders>
            <w:shd w:val="clear" w:color="000000" w:fill="FCE4D6"/>
            <w:noWrap/>
            <w:vAlign w:val="center"/>
            <w:hideMark/>
          </w:tcPr>
          <w:p w14:paraId="672C1614" w14:textId="77777777" w:rsidR="00587171" w:rsidRPr="00EB66AE" w:rsidRDefault="00587171" w:rsidP="00587171">
            <w:pPr>
              <w:spacing w:after="0" w:line="240" w:lineRule="auto"/>
              <w:jc w:val="center"/>
              <w:rPr>
                <w:rFonts w:ascii="Calibri" w:eastAsia="Times New Roman" w:hAnsi="Calibri" w:cs="Calibri"/>
              </w:rPr>
            </w:pPr>
            <w:r w:rsidRPr="00EB66AE">
              <w:rPr>
                <w:rFonts w:ascii="Calibri" w:eastAsia="Times New Roman" w:hAnsi="Calibri" w:cs="Calibri"/>
              </w:rPr>
              <w:t>0</w:t>
            </w:r>
          </w:p>
        </w:tc>
        <w:tc>
          <w:tcPr>
            <w:tcW w:w="0" w:type="auto"/>
            <w:tcBorders>
              <w:top w:val="nil"/>
              <w:left w:val="nil"/>
              <w:bottom w:val="single" w:sz="4" w:space="0" w:color="auto"/>
              <w:right w:val="single" w:sz="4" w:space="0" w:color="auto"/>
            </w:tcBorders>
            <w:shd w:val="clear" w:color="000000" w:fill="FCE4D6"/>
            <w:noWrap/>
            <w:vAlign w:val="center"/>
            <w:hideMark/>
          </w:tcPr>
          <w:p w14:paraId="2157DB4E" w14:textId="77777777" w:rsidR="00587171" w:rsidRPr="00EB66AE" w:rsidRDefault="00587171" w:rsidP="00587171">
            <w:pPr>
              <w:spacing w:after="0" w:line="240" w:lineRule="auto"/>
              <w:jc w:val="center"/>
              <w:rPr>
                <w:rFonts w:ascii="Calibri" w:eastAsia="Times New Roman" w:hAnsi="Calibri" w:cs="Calibri"/>
              </w:rPr>
            </w:pPr>
            <w:r w:rsidRPr="00EB66AE">
              <w:rPr>
                <w:rFonts w:ascii="Calibri" w:eastAsia="Times New Roman" w:hAnsi="Calibri" w:cs="Calibri"/>
              </w:rPr>
              <w:t>0</w:t>
            </w:r>
          </w:p>
        </w:tc>
        <w:tc>
          <w:tcPr>
            <w:tcW w:w="0" w:type="auto"/>
            <w:tcBorders>
              <w:top w:val="nil"/>
              <w:left w:val="nil"/>
              <w:bottom w:val="single" w:sz="4" w:space="0" w:color="auto"/>
              <w:right w:val="single" w:sz="4" w:space="0" w:color="auto"/>
            </w:tcBorders>
            <w:shd w:val="clear" w:color="000000" w:fill="FFF2CC"/>
            <w:noWrap/>
            <w:vAlign w:val="center"/>
            <w:hideMark/>
          </w:tcPr>
          <w:p w14:paraId="4284F13D" w14:textId="77777777" w:rsidR="00587171" w:rsidRPr="00EB66AE" w:rsidRDefault="00587171" w:rsidP="00587171">
            <w:pPr>
              <w:spacing w:after="0" w:line="240" w:lineRule="auto"/>
              <w:jc w:val="center"/>
              <w:rPr>
                <w:rFonts w:ascii="Calibri" w:eastAsia="Times New Roman" w:hAnsi="Calibri" w:cs="Calibri"/>
              </w:rPr>
            </w:pPr>
            <w:r w:rsidRPr="00EB66AE">
              <w:rPr>
                <w:rFonts w:ascii="Calibri" w:eastAsia="Times New Roman" w:hAnsi="Calibri" w:cs="Calibri"/>
              </w:rPr>
              <w:t>0</w:t>
            </w:r>
          </w:p>
        </w:tc>
        <w:tc>
          <w:tcPr>
            <w:tcW w:w="0" w:type="auto"/>
            <w:tcBorders>
              <w:top w:val="nil"/>
              <w:left w:val="nil"/>
              <w:bottom w:val="single" w:sz="4" w:space="0" w:color="auto"/>
              <w:right w:val="single" w:sz="4" w:space="0" w:color="auto"/>
            </w:tcBorders>
            <w:shd w:val="clear" w:color="000000" w:fill="FFF2CC"/>
            <w:noWrap/>
            <w:vAlign w:val="center"/>
            <w:hideMark/>
          </w:tcPr>
          <w:p w14:paraId="012789F4" w14:textId="77777777" w:rsidR="00587171" w:rsidRPr="00EB66AE" w:rsidRDefault="00587171" w:rsidP="00587171">
            <w:pPr>
              <w:spacing w:after="0" w:line="240" w:lineRule="auto"/>
              <w:jc w:val="center"/>
              <w:rPr>
                <w:rFonts w:ascii="Calibri" w:eastAsia="Times New Roman" w:hAnsi="Calibri" w:cs="Calibri"/>
              </w:rPr>
            </w:pPr>
            <w:r w:rsidRPr="00EB66AE">
              <w:rPr>
                <w:rFonts w:ascii="Calibri" w:eastAsia="Times New Roman" w:hAnsi="Calibri" w:cs="Calibri"/>
              </w:rPr>
              <w:t>0</w:t>
            </w:r>
          </w:p>
        </w:tc>
      </w:tr>
      <w:tr w:rsidR="00587171" w:rsidRPr="00587171" w14:paraId="01CCCB49" w14:textId="77777777" w:rsidTr="00605A30">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CA5E568"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Polarization loss [dB]</w:t>
            </w:r>
          </w:p>
        </w:tc>
        <w:tc>
          <w:tcPr>
            <w:tcW w:w="0" w:type="auto"/>
            <w:tcBorders>
              <w:top w:val="nil"/>
              <w:left w:val="nil"/>
              <w:bottom w:val="single" w:sz="4" w:space="0" w:color="auto"/>
              <w:right w:val="single" w:sz="4" w:space="0" w:color="auto"/>
            </w:tcBorders>
            <w:shd w:val="clear" w:color="000000" w:fill="FCE4D6"/>
            <w:noWrap/>
            <w:vAlign w:val="center"/>
            <w:hideMark/>
          </w:tcPr>
          <w:p w14:paraId="351EB183" w14:textId="77777777" w:rsidR="00587171" w:rsidRPr="00EB66AE" w:rsidRDefault="00587171" w:rsidP="00587171">
            <w:pPr>
              <w:spacing w:after="0" w:line="240" w:lineRule="auto"/>
              <w:jc w:val="center"/>
              <w:rPr>
                <w:rFonts w:ascii="Calibri" w:eastAsia="Times New Roman" w:hAnsi="Calibri" w:cs="Calibri"/>
              </w:rPr>
            </w:pPr>
            <w:r w:rsidRPr="00EB66AE">
              <w:rPr>
                <w:rFonts w:ascii="Calibri" w:eastAsia="Times New Roman" w:hAnsi="Calibri" w:cs="Calibri"/>
              </w:rPr>
              <w:t>0</w:t>
            </w:r>
          </w:p>
        </w:tc>
        <w:tc>
          <w:tcPr>
            <w:tcW w:w="0" w:type="auto"/>
            <w:tcBorders>
              <w:top w:val="nil"/>
              <w:left w:val="nil"/>
              <w:bottom w:val="single" w:sz="4" w:space="0" w:color="auto"/>
              <w:right w:val="single" w:sz="4" w:space="0" w:color="auto"/>
            </w:tcBorders>
            <w:shd w:val="clear" w:color="000000" w:fill="FCE4D6"/>
            <w:noWrap/>
            <w:vAlign w:val="center"/>
            <w:hideMark/>
          </w:tcPr>
          <w:p w14:paraId="758CAC8D" w14:textId="77777777" w:rsidR="00587171" w:rsidRPr="00EB66AE" w:rsidRDefault="00587171" w:rsidP="00587171">
            <w:pPr>
              <w:spacing w:after="0" w:line="240" w:lineRule="auto"/>
              <w:jc w:val="center"/>
              <w:rPr>
                <w:rFonts w:ascii="Calibri" w:eastAsia="Times New Roman" w:hAnsi="Calibri" w:cs="Calibri"/>
              </w:rPr>
            </w:pPr>
            <w:r w:rsidRPr="00EB66AE">
              <w:rPr>
                <w:rFonts w:ascii="Calibri" w:eastAsia="Times New Roman" w:hAnsi="Calibri" w:cs="Calibri"/>
              </w:rPr>
              <w:t>0</w:t>
            </w:r>
          </w:p>
        </w:tc>
        <w:tc>
          <w:tcPr>
            <w:tcW w:w="0" w:type="auto"/>
            <w:tcBorders>
              <w:top w:val="nil"/>
              <w:left w:val="nil"/>
              <w:bottom w:val="single" w:sz="4" w:space="0" w:color="auto"/>
              <w:right w:val="single" w:sz="4" w:space="0" w:color="auto"/>
            </w:tcBorders>
            <w:shd w:val="clear" w:color="000000" w:fill="FFF2CC"/>
            <w:noWrap/>
            <w:vAlign w:val="center"/>
            <w:hideMark/>
          </w:tcPr>
          <w:p w14:paraId="30C4A5BE" w14:textId="77777777" w:rsidR="00587171" w:rsidRPr="00EB66AE" w:rsidRDefault="00587171" w:rsidP="00587171">
            <w:pPr>
              <w:spacing w:after="0" w:line="240" w:lineRule="auto"/>
              <w:jc w:val="center"/>
              <w:rPr>
                <w:rFonts w:ascii="Calibri" w:eastAsia="Times New Roman" w:hAnsi="Calibri" w:cs="Calibri"/>
              </w:rPr>
            </w:pPr>
            <w:r w:rsidRPr="00EB66AE">
              <w:rPr>
                <w:rFonts w:ascii="Calibri" w:eastAsia="Times New Roman" w:hAnsi="Calibri" w:cs="Calibri"/>
              </w:rPr>
              <w:t>0</w:t>
            </w:r>
          </w:p>
        </w:tc>
        <w:tc>
          <w:tcPr>
            <w:tcW w:w="0" w:type="auto"/>
            <w:tcBorders>
              <w:top w:val="nil"/>
              <w:left w:val="nil"/>
              <w:bottom w:val="single" w:sz="4" w:space="0" w:color="auto"/>
              <w:right w:val="single" w:sz="4" w:space="0" w:color="auto"/>
            </w:tcBorders>
            <w:shd w:val="clear" w:color="000000" w:fill="FFF2CC"/>
            <w:noWrap/>
            <w:vAlign w:val="center"/>
            <w:hideMark/>
          </w:tcPr>
          <w:p w14:paraId="03174211" w14:textId="77777777" w:rsidR="00587171" w:rsidRPr="00EB66AE" w:rsidRDefault="00587171" w:rsidP="00587171">
            <w:pPr>
              <w:spacing w:after="0" w:line="240" w:lineRule="auto"/>
              <w:jc w:val="center"/>
              <w:rPr>
                <w:rFonts w:ascii="Calibri" w:eastAsia="Times New Roman" w:hAnsi="Calibri" w:cs="Calibri"/>
              </w:rPr>
            </w:pPr>
            <w:r w:rsidRPr="00EB66AE">
              <w:rPr>
                <w:rFonts w:ascii="Calibri" w:eastAsia="Times New Roman" w:hAnsi="Calibri" w:cs="Calibri"/>
              </w:rPr>
              <w:t>0</w:t>
            </w:r>
          </w:p>
        </w:tc>
        <w:tc>
          <w:tcPr>
            <w:tcW w:w="0" w:type="auto"/>
            <w:tcBorders>
              <w:top w:val="nil"/>
              <w:left w:val="nil"/>
              <w:bottom w:val="single" w:sz="4" w:space="0" w:color="auto"/>
              <w:right w:val="single" w:sz="4" w:space="0" w:color="auto"/>
            </w:tcBorders>
            <w:shd w:val="clear" w:color="000000" w:fill="FCE4D6"/>
            <w:noWrap/>
            <w:vAlign w:val="center"/>
            <w:hideMark/>
          </w:tcPr>
          <w:p w14:paraId="2E4E4A10" w14:textId="77777777" w:rsidR="00587171" w:rsidRPr="00EB66AE" w:rsidRDefault="00587171" w:rsidP="00587171">
            <w:pPr>
              <w:spacing w:after="0" w:line="240" w:lineRule="auto"/>
              <w:jc w:val="center"/>
              <w:rPr>
                <w:rFonts w:ascii="Calibri" w:eastAsia="Times New Roman" w:hAnsi="Calibri" w:cs="Calibri"/>
              </w:rPr>
            </w:pPr>
            <w:r w:rsidRPr="00EB66AE">
              <w:rPr>
                <w:rFonts w:ascii="Calibri" w:eastAsia="Times New Roman" w:hAnsi="Calibri" w:cs="Calibri"/>
              </w:rPr>
              <w:t>0</w:t>
            </w:r>
          </w:p>
        </w:tc>
        <w:tc>
          <w:tcPr>
            <w:tcW w:w="0" w:type="auto"/>
            <w:tcBorders>
              <w:top w:val="nil"/>
              <w:left w:val="nil"/>
              <w:bottom w:val="single" w:sz="4" w:space="0" w:color="auto"/>
              <w:right w:val="single" w:sz="4" w:space="0" w:color="auto"/>
            </w:tcBorders>
            <w:shd w:val="clear" w:color="000000" w:fill="FCE4D6"/>
            <w:noWrap/>
            <w:vAlign w:val="center"/>
            <w:hideMark/>
          </w:tcPr>
          <w:p w14:paraId="0C7C1106" w14:textId="77777777" w:rsidR="00587171" w:rsidRPr="00EB66AE" w:rsidRDefault="00587171" w:rsidP="00587171">
            <w:pPr>
              <w:spacing w:after="0" w:line="240" w:lineRule="auto"/>
              <w:jc w:val="center"/>
              <w:rPr>
                <w:rFonts w:ascii="Calibri" w:eastAsia="Times New Roman" w:hAnsi="Calibri" w:cs="Calibri"/>
              </w:rPr>
            </w:pPr>
            <w:r w:rsidRPr="00EB66AE">
              <w:rPr>
                <w:rFonts w:ascii="Calibri" w:eastAsia="Times New Roman" w:hAnsi="Calibri" w:cs="Calibri"/>
              </w:rPr>
              <w:t>0</w:t>
            </w:r>
          </w:p>
        </w:tc>
        <w:tc>
          <w:tcPr>
            <w:tcW w:w="0" w:type="auto"/>
            <w:tcBorders>
              <w:top w:val="nil"/>
              <w:left w:val="nil"/>
              <w:bottom w:val="single" w:sz="4" w:space="0" w:color="auto"/>
              <w:right w:val="single" w:sz="4" w:space="0" w:color="auto"/>
            </w:tcBorders>
            <w:shd w:val="clear" w:color="000000" w:fill="FFF2CC"/>
            <w:noWrap/>
            <w:vAlign w:val="center"/>
            <w:hideMark/>
          </w:tcPr>
          <w:p w14:paraId="0EA5C90E" w14:textId="77777777" w:rsidR="00587171" w:rsidRPr="00EB66AE" w:rsidRDefault="00587171" w:rsidP="00587171">
            <w:pPr>
              <w:spacing w:after="0" w:line="240" w:lineRule="auto"/>
              <w:jc w:val="center"/>
              <w:rPr>
                <w:rFonts w:ascii="Calibri" w:eastAsia="Times New Roman" w:hAnsi="Calibri" w:cs="Calibri"/>
              </w:rPr>
            </w:pPr>
            <w:r w:rsidRPr="00EB66AE">
              <w:rPr>
                <w:rFonts w:ascii="Calibri" w:eastAsia="Times New Roman" w:hAnsi="Calibri" w:cs="Calibri"/>
              </w:rPr>
              <w:t>0</w:t>
            </w:r>
          </w:p>
        </w:tc>
        <w:tc>
          <w:tcPr>
            <w:tcW w:w="0" w:type="auto"/>
            <w:tcBorders>
              <w:top w:val="nil"/>
              <w:left w:val="nil"/>
              <w:bottom w:val="single" w:sz="4" w:space="0" w:color="auto"/>
              <w:right w:val="single" w:sz="4" w:space="0" w:color="auto"/>
            </w:tcBorders>
            <w:shd w:val="clear" w:color="000000" w:fill="FFF2CC"/>
            <w:noWrap/>
            <w:vAlign w:val="center"/>
            <w:hideMark/>
          </w:tcPr>
          <w:p w14:paraId="091EE891" w14:textId="77777777" w:rsidR="00587171" w:rsidRPr="00EB66AE" w:rsidRDefault="00587171" w:rsidP="00587171">
            <w:pPr>
              <w:spacing w:after="0" w:line="240" w:lineRule="auto"/>
              <w:jc w:val="center"/>
              <w:rPr>
                <w:rFonts w:ascii="Calibri" w:eastAsia="Times New Roman" w:hAnsi="Calibri" w:cs="Calibri"/>
              </w:rPr>
            </w:pPr>
            <w:r w:rsidRPr="00EB66AE">
              <w:rPr>
                <w:rFonts w:ascii="Calibri" w:eastAsia="Times New Roman" w:hAnsi="Calibri" w:cs="Calibri"/>
              </w:rPr>
              <w:t>0</w:t>
            </w:r>
          </w:p>
        </w:tc>
      </w:tr>
      <w:tr w:rsidR="00587171" w:rsidRPr="00587171" w14:paraId="1B79831F" w14:textId="77777777" w:rsidTr="00605A30">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89F635F"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Additional losses (AD) [dB]</w:t>
            </w:r>
          </w:p>
        </w:tc>
        <w:tc>
          <w:tcPr>
            <w:tcW w:w="0" w:type="auto"/>
            <w:tcBorders>
              <w:top w:val="nil"/>
              <w:left w:val="nil"/>
              <w:bottom w:val="single" w:sz="4" w:space="0" w:color="auto"/>
              <w:right w:val="single" w:sz="4" w:space="0" w:color="auto"/>
            </w:tcBorders>
            <w:shd w:val="clear" w:color="000000" w:fill="FCE4D6"/>
            <w:noWrap/>
            <w:vAlign w:val="center"/>
            <w:hideMark/>
          </w:tcPr>
          <w:p w14:paraId="60179397" w14:textId="77777777" w:rsidR="00587171" w:rsidRPr="00EB66AE" w:rsidRDefault="00587171" w:rsidP="00587171">
            <w:pPr>
              <w:spacing w:after="0" w:line="240" w:lineRule="auto"/>
              <w:jc w:val="center"/>
              <w:rPr>
                <w:rFonts w:ascii="Calibri" w:eastAsia="Times New Roman" w:hAnsi="Calibri" w:cs="Calibri"/>
              </w:rPr>
            </w:pPr>
            <w:r w:rsidRPr="00EB66AE">
              <w:rPr>
                <w:rFonts w:ascii="Calibri" w:eastAsia="Times New Roman" w:hAnsi="Calibri" w:cs="Calibri"/>
              </w:rPr>
              <w:t>0</w:t>
            </w:r>
          </w:p>
        </w:tc>
        <w:tc>
          <w:tcPr>
            <w:tcW w:w="0" w:type="auto"/>
            <w:tcBorders>
              <w:top w:val="nil"/>
              <w:left w:val="nil"/>
              <w:bottom w:val="single" w:sz="4" w:space="0" w:color="auto"/>
              <w:right w:val="single" w:sz="4" w:space="0" w:color="auto"/>
            </w:tcBorders>
            <w:shd w:val="clear" w:color="000000" w:fill="FCE4D6"/>
            <w:noWrap/>
            <w:vAlign w:val="center"/>
            <w:hideMark/>
          </w:tcPr>
          <w:p w14:paraId="0386031E" w14:textId="77777777" w:rsidR="00587171" w:rsidRPr="00EB66AE" w:rsidRDefault="00587171" w:rsidP="00587171">
            <w:pPr>
              <w:spacing w:after="0" w:line="240" w:lineRule="auto"/>
              <w:jc w:val="center"/>
              <w:rPr>
                <w:rFonts w:ascii="Calibri" w:eastAsia="Times New Roman" w:hAnsi="Calibri" w:cs="Calibri"/>
              </w:rPr>
            </w:pPr>
            <w:r w:rsidRPr="00EB66AE">
              <w:rPr>
                <w:rFonts w:ascii="Calibri" w:eastAsia="Times New Roman" w:hAnsi="Calibri" w:cs="Calibri"/>
              </w:rPr>
              <w:t>0</w:t>
            </w:r>
          </w:p>
        </w:tc>
        <w:tc>
          <w:tcPr>
            <w:tcW w:w="0" w:type="auto"/>
            <w:tcBorders>
              <w:top w:val="nil"/>
              <w:left w:val="nil"/>
              <w:bottom w:val="single" w:sz="4" w:space="0" w:color="auto"/>
              <w:right w:val="single" w:sz="4" w:space="0" w:color="auto"/>
            </w:tcBorders>
            <w:shd w:val="clear" w:color="000000" w:fill="FFF2CC"/>
            <w:noWrap/>
            <w:vAlign w:val="center"/>
            <w:hideMark/>
          </w:tcPr>
          <w:p w14:paraId="473241A8" w14:textId="77777777" w:rsidR="00587171" w:rsidRPr="00EB66AE" w:rsidRDefault="00587171" w:rsidP="00587171">
            <w:pPr>
              <w:spacing w:after="0" w:line="240" w:lineRule="auto"/>
              <w:jc w:val="center"/>
              <w:rPr>
                <w:rFonts w:ascii="Calibri" w:eastAsia="Times New Roman" w:hAnsi="Calibri" w:cs="Calibri"/>
              </w:rPr>
            </w:pPr>
            <w:r w:rsidRPr="00EB66AE">
              <w:rPr>
                <w:rFonts w:ascii="Calibri" w:eastAsia="Times New Roman" w:hAnsi="Calibri" w:cs="Calibri"/>
              </w:rPr>
              <w:t>0</w:t>
            </w:r>
          </w:p>
        </w:tc>
        <w:tc>
          <w:tcPr>
            <w:tcW w:w="0" w:type="auto"/>
            <w:tcBorders>
              <w:top w:val="nil"/>
              <w:left w:val="nil"/>
              <w:bottom w:val="single" w:sz="4" w:space="0" w:color="auto"/>
              <w:right w:val="single" w:sz="4" w:space="0" w:color="auto"/>
            </w:tcBorders>
            <w:shd w:val="clear" w:color="000000" w:fill="FFF2CC"/>
            <w:noWrap/>
            <w:vAlign w:val="center"/>
            <w:hideMark/>
          </w:tcPr>
          <w:p w14:paraId="6E0DA6DD" w14:textId="77777777" w:rsidR="00587171" w:rsidRPr="00EB66AE" w:rsidRDefault="00587171" w:rsidP="00587171">
            <w:pPr>
              <w:spacing w:after="0" w:line="240" w:lineRule="auto"/>
              <w:jc w:val="center"/>
              <w:rPr>
                <w:rFonts w:ascii="Calibri" w:eastAsia="Times New Roman" w:hAnsi="Calibri" w:cs="Calibri"/>
              </w:rPr>
            </w:pPr>
            <w:r w:rsidRPr="00EB66AE">
              <w:rPr>
                <w:rFonts w:ascii="Calibri" w:eastAsia="Times New Roman" w:hAnsi="Calibri" w:cs="Calibri"/>
              </w:rPr>
              <w:t>0</w:t>
            </w:r>
          </w:p>
        </w:tc>
        <w:tc>
          <w:tcPr>
            <w:tcW w:w="0" w:type="auto"/>
            <w:tcBorders>
              <w:top w:val="nil"/>
              <w:left w:val="nil"/>
              <w:bottom w:val="single" w:sz="4" w:space="0" w:color="auto"/>
              <w:right w:val="single" w:sz="4" w:space="0" w:color="auto"/>
            </w:tcBorders>
            <w:shd w:val="clear" w:color="000000" w:fill="FCE4D6"/>
            <w:noWrap/>
            <w:vAlign w:val="center"/>
            <w:hideMark/>
          </w:tcPr>
          <w:p w14:paraId="1CC76E83" w14:textId="77777777" w:rsidR="00587171" w:rsidRPr="00EB66AE" w:rsidRDefault="00587171" w:rsidP="00587171">
            <w:pPr>
              <w:spacing w:after="0" w:line="240" w:lineRule="auto"/>
              <w:jc w:val="center"/>
              <w:rPr>
                <w:rFonts w:ascii="Calibri" w:eastAsia="Times New Roman" w:hAnsi="Calibri" w:cs="Calibri"/>
              </w:rPr>
            </w:pPr>
            <w:r w:rsidRPr="00EB66AE">
              <w:rPr>
                <w:rFonts w:ascii="Calibri" w:eastAsia="Times New Roman" w:hAnsi="Calibri" w:cs="Calibri"/>
              </w:rPr>
              <w:t>0</w:t>
            </w:r>
          </w:p>
        </w:tc>
        <w:tc>
          <w:tcPr>
            <w:tcW w:w="0" w:type="auto"/>
            <w:tcBorders>
              <w:top w:val="nil"/>
              <w:left w:val="nil"/>
              <w:bottom w:val="single" w:sz="4" w:space="0" w:color="auto"/>
              <w:right w:val="single" w:sz="4" w:space="0" w:color="auto"/>
            </w:tcBorders>
            <w:shd w:val="clear" w:color="000000" w:fill="FCE4D6"/>
            <w:noWrap/>
            <w:vAlign w:val="center"/>
            <w:hideMark/>
          </w:tcPr>
          <w:p w14:paraId="29E765BE" w14:textId="77777777" w:rsidR="00587171" w:rsidRPr="00EB66AE" w:rsidRDefault="00587171" w:rsidP="00587171">
            <w:pPr>
              <w:spacing w:after="0" w:line="240" w:lineRule="auto"/>
              <w:jc w:val="center"/>
              <w:rPr>
                <w:rFonts w:ascii="Calibri" w:eastAsia="Times New Roman" w:hAnsi="Calibri" w:cs="Calibri"/>
              </w:rPr>
            </w:pPr>
            <w:r w:rsidRPr="00EB66AE">
              <w:rPr>
                <w:rFonts w:ascii="Calibri" w:eastAsia="Times New Roman" w:hAnsi="Calibri" w:cs="Calibri"/>
              </w:rPr>
              <w:t>0</w:t>
            </w:r>
          </w:p>
        </w:tc>
        <w:tc>
          <w:tcPr>
            <w:tcW w:w="0" w:type="auto"/>
            <w:tcBorders>
              <w:top w:val="nil"/>
              <w:left w:val="nil"/>
              <w:bottom w:val="single" w:sz="4" w:space="0" w:color="auto"/>
              <w:right w:val="single" w:sz="4" w:space="0" w:color="auto"/>
            </w:tcBorders>
            <w:shd w:val="clear" w:color="000000" w:fill="FFF2CC"/>
            <w:noWrap/>
            <w:vAlign w:val="center"/>
            <w:hideMark/>
          </w:tcPr>
          <w:p w14:paraId="2D36EECF" w14:textId="77777777" w:rsidR="00587171" w:rsidRPr="00EB66AE" w:rsidRDefault="00587171" w:rsidP="00587171">
            <w:pPr>
              <w:spacing w:after="0" w:line="240" w:lineRule="auto"/>
              <w:jc w:val="center"/>
              <w:rPr>
                <w:rFonts w:ascii="Calibri" w:eastAsia="Times New Roman" w:hAnsi="Calibri" w:cs="Calibri"/>
              </w:rPr>
            </w:pPr>
            <w:r w:rsidRPr="00EB66AE">
              <w:rPr>
                <w:rFonts w:ascii="Calibri" w:eastAsia="Times New Roman" w:hAnsi="Calibri" w:cs="Calibri"/>
              </w:rPr>
              <w:t>0</w:t>
            </w:r>
          </w:p>
        </w:tc>
        <w:tc>
          <w:tcPr>
            <w:tcW w:w="0" w:type="auto"/>
            <w:tcBorders>
              <w:top w:val="nil"/>
              <w:left w:val="nil"/>
              <w:bottom w:val="single" w:sz="4" w:space="0" w:color="auto"/>
              <w:right w:val="single" w:sz="4" w:space="0" w:color="auto"/>
            </w:tcBorders>
            <w:shd w:val="clear" w:color="000000" w:fill="FFF2CC"/>
            <w:noWrap/>
            <w:vAlign w:val="center"/>
            <w:hideMark/>
          </w:tcPr>
          <w:p w14:paraId="2F744B4D" w14:textId="77777777" w:rsidR="00587171" w:rsidRPr="00EB66AE" w:rsidRDefault="00587171" w:rsidP="00587171">
            <w:pPr>
              <w:spacing w:after="0" w:line="240" w:lineRule="auto"/>
              <w:jc w:val="center"/>
              <w:rPr>
                <w:rFonts w:ascii="Calibri" w:eastAsia="Times New Roman" w:hAnsi="Calibri" w:cs="Calibri"/>
              </w:rPr>
            </w:pPr>
            <w:r w:rsidRPr="00EB66AE">
              <w:rPr>
                <w:rFonts w:ascii="Calibri" w:eastAsia="Times New Roman" w:hAnsi="Calibri" w:cs="Calibri"/>
              </w:rPr>
              <w:t>0</w:t>
            </w:r>
          </w:p>
        </w:tc>
      </w:tr>
      <w:tr w:rsidR="00587171" w:rsidRPr="00587171" w14:paraId="7BB53EC7" w14:textId="77777777" w:rsidTr="00605A30">
        <w:trPr>
          <w:trHeight w:val="288"/>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FA7EDF1" w14:textId="77777777" w:rsidR="00587171" w:rsidRPr="00587171" w:rsidRDefault="00587171" w:rsidP="00587171">
            <w:pPr>
              <w:spacing w:after="0" w:line="240" w:lineRule="auto"/>
              <w:jc w:val="center"/>
              <w:rPr>
                <w:rFonts w:ascii="Calibri" w:eastAsia="Times New Roman" w:hAnsi="Calibri" w:cs="Calibri"/>
                <w:color w:val="000000"/>
              </w:rPr>
            </w:pPr>
            <w:r w:rsidRPr="00587171">
              <w:rPr>
                <w:rFonts w:ascii="Calibri" w:eastAsia="Times New Roman" w:hAnsi="Calibri" w:cs="Calibri"/>
                <w:color w:val="000000"/>
              </w:rPr>
              <w:t>Target SNR [dB]</w:t>
            </w:r>
          </w:p>
        </w:tc>
        <w:tc>
          <w:tcPr>
            <w:tcW w:w="0" w:type="auto"/>
            <w:tcBorders>
              <w:top w:val="nil"/>
              <w:left w:val="nil"/>
              <w:bottom w:val="single" w:sz="4" w:space="0" w:color="auto"/>
              <w:right w:val="single" w:sz="4" w:space="0" w:color="auto"/>
            </w:tcBorders>
            <w:shd w:val="clear" w:color="000000" w:fill="FCE4D6"/>
            <w:noWrap/>
            <w:vAlign w:val="center"/>
            <w:hideMark/>
          </w:tcPr>
          <w:p w14:paraId="14BE5CF3" w14:textId="5D73273E" w:rsidR="00587171" w:rsidRPr="00587171" w:rsidRDefault="008C4F6F" w:rsidP="00587171">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8.8</w:t>
            </w:r>
          </w:p>
        </w:tc>
        <w:tc>
          <w:tcPr>
            <w:tcW w:w="0" w:type="auto"/>
            <w:tcBorders>
              <w:top w:val="nil"/>
              <w:left w:val="nil"/>
              <w:bottom w:val="single" w:sz="4" w:space="0" w:color="auto"/>
              <w:right w:val="single" w:sz="4" w:space="0" w:color="auto"/>
            </w:tcBorders>
            <w:shd w:val="clear" w:color="000000" w:fill="FCE4D6"/>
            <w:noWrap/>
            <w:vAlign w:val="center"/>
            <w:hideMark/>
          </w:tcPr>
          <w:p w14:paraId="660096DD" w14:textId="25B5531C" w:rsidR="00587171" w:rsidRPr="00587171" w:rsidRDefault="008C4F6F" w:rsidP="00587171">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8.0</w:t>
            </w:r>
          </w:p>
        </w:tc>
        <w:tc>
          <w:tcPr>
            <w:tcW w:w="0" w:type="auto"/>
            <w:tcBorders>
              <w:top w:val="nil"/>
              <w:left w:val="nil"/>
              <w:bottom w:val="single" w:sz="4" w:space="0" w:color="auto"/>
              <w:right w:val="single" w:sz="4" w:space="0" w:color="auto"/>
            </w:tcBorders>
            <w:shd w:val="clear" w:color="000000" w:fill="FFF2CC"/>
            <w:noWrap/>
            <w:vAlign w:val="center"/>
            <w:hideMark/>
          </w:tcPr>
          <w:p w14:paraId="3FA88C27" w14:textId="38422DFE" w:rsidR="00587171" w:rsidRPr="00587171" w:rsidRDefault="00E94A94" w:rsidP="00587171">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9.4</w:t>
            </w:r>
          </w:p>
        </w:tc>
        <w:tc>
          <w:tcPr>
            <w:tcW w:w="0" w:type="auto"/>
            <w:tcBorders>
              <w:top w:val="nil"/>
              <w:left w:val="nil"/>
              <w:bottom w:val="single" w:sz="4" w:space="0" w:color="auto"/>
              <w:right w:val="single" w:sz="4" w:space="0" w:color="auto"/>
            </w:tcBorders>
            <w:shd w:val="clear" w:color="000000" w:fill="FFF2CC"/>
            <w:noWrap/>
            <w:vAlign w:val="center"/>
            <w:hideMark/>
          </w:tcPr>
          <w:p w14:paraId="40159546" w14:textId="5DEB346D" w:rsidR="00587171" w:rsidRPr="00587171" w:rsidRDefault="00E94A94" w:rsidP="00587171">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2.6</w:t>
            </w:r>
          </w:p>
        </w:tc>
        <w:tc>
          <w:tcPr>
            <w:tcW w:w="0" w:type="auto"/>
            <w:tcBorders>
              <w:top w:val="nil"/>
              <w:left w:val="nil"/>
              <w:bottom w:val="single" w:sz="4" w:space="0" w:color="auto"/>
              <w:right w:val="single" w:sz="4" w:space="0" w:color="auto"/>
            </w:tcBorders>
            <w:shd w:val="clear" w:color="000000" w:fill="FCE4D6"/>
            <w:noWrap/>
            <w:vAlign w:val="center"/>
            <w:hideMark/>
          </w:tcPr>
          <w:p w14:paraId="170C87DB" w14:textId="77777777" w:rsidR="00587171" w:rsidRPr="00587171" w:rsidRDefault="00587171" w:rsidP="00587171">
            <w:pPr>
              <w:spacing w:after="0" w:line="240" w:lineRule="auto"/>
              <w:jc w:val="center"/>
              <w:rPr>
                <w:rFonts w:ascii="Calibri" w:eastAsia="Times New Roman" w:hAnsi="Calibri" w:cs="Calibri"/>
                <w:b/>
                <w:bCs/>
                <w:color w:val="000000"/>
              </w:rPr>
            </w:pPr>
            <w:r w:rsidRPr="00587171">
              <w:rPr>
                <w:rFonts w:ascii="Calibri" w:eastAsia="Times New Roman" w:hAnsi="Calibri" w:cs="Calibri"/>
                <w:b/>
                <w:bCs/>
                <w:color w:val="000000"/>
              </w:rPr>
              <w:t>9.4</w:t>
            </w:r>
          </w:p>
        </w:tc>
        <w:tc>
          <w:tcPr>
            <w:tcW w:w="0" w:type="auto"/>
            <w:tcBorders>
              <w:top w:val="nil"/>
              <w:left w:val="nil"/>
              <w:bottom w:val="single" w:sz="4" w:space="0" w:color="auto"/>
              <w:right w:val="single" w:sz="4" w:space="0" w:color="auto"/>
            </w:tcBorders>
            <w:shd w:val="clear" w:color="000000" w:fill="FCE4D6"/>
            <w:noWrap/>
            <w:vAlign w:val="center"/>
            <w:hideMark/>
          </w:tcPr>
          <w:p w14:paraId="56C4A5D6" w14:textId="207D5179" w:rsidR="00587171" w:rsidRPr="00587171" w:rsidRDefault="004923FF" w:rsidP="00587171">
            <w:pPr>
              <w:spacing w:after="0" w:line="240" w:lineRule="auto"/>
              <w:jc w:val="center"/>
              <w:rPr>
                <w:rFonts w:ascii="Calibri" w:eastAsia="Times New Roman" w:hAnsi="Calibri" w:cs="Calibri"/>
                <w:b/>
                <w:bCs/>
                <w:color w:val="000000"/>
              </w:rPr>
            </w:pPr>
            <w:r>
              <w:rPr>
                <w:rFonts w:ascii="Calibri" w:eastAsia="Times New Roman" w:hAnsi="Calibri" w:cs="Calibri"/>
                <w:b/>
                <w:bCs/>
                <w:color w:val="000000"/>
              </w:rPr>
              <w:t>19</w:t>
            </w:r>
            <w:r w:rsidR="00587171" w:rsidRPr="00587171">
              <w:rPr>
                <w:rFonts w:ascii="Calibri" w:eastAsia="Times New Roman" w:hAnsi="Calibri" w:cs="Calibri"/>
                <w:b/>
                <w:bCs/>
                <w:color w:val="000000"/>
              </w:rPr>
              <w:t>.3</w:t>
            </w:r>
          </w:p>
        </w:tc>
        <w:tc>
          <w:tcPr>
            <w:tcW w:w="0" w:type="auto"/>
            <w:tcBorders>
              <w:top w:val="nil"/>
              <w:left w:val="nil"/>
              <w:bottom w:val="single" w:sz="4" w:space="0" w:color="auto"/>
              <w:right w:val="single" w:sz="4" w:space="0" w:color="auto"/>
            </w:tcBorders>
            <w:shd w:val="clear" w:color="000000" w:fill="FFF2CC"/>
            <w:noWrap/>
            <w:vAlign w:val="center"/>
            <w:hideMark/>
          </w:tcPr>
          <w:p w14:paraId="511AF54F" w14:textId="77777777" w:rsidR="00587171" w:rsidRPr="00587171" w:rsidRDefault="00587171" w:rsidP="00587171">
            <w:pPr>
              <w:spacing w:after="0" w:line="240" w:lineRule="auto"/>
              <w:jc w:val="center"/>
              <w:rPr>
                <w:rFonts w:ascii="Calibri" w:eastAsia="Times New Roman" w:hAnsi="Calibri" w:cs="Calibri"/>
                <w:b/>
                <w:bCs/>
                <w:color w:val="000000"/>
              </w:rPr>
            </w:pPr>
            <w:r w:rsidRPr="00587171">
              <w:rPr>
                <w:rFonts w:ascii="Calibri" w:eastAsia="Times New Roman" w:hAnsi="Calibri" w:cs="Calibri"/>
                <w:b/>
                <w:bCs/>
                <w:color w:val="000000"/>
              </w:rPr>
              <w:t>10.0</w:t>
            </w:r>
          </w:p>
        </w:tc>
        <w:tc>
          <w:tcPr>
            <w:tcW w:w="0" w:type="auto"/>
            <w:tcBorders>
              <w:top w:val="nil"/>
              <w:left w:val="nil"/>
              <w:bottom w:val="single" w:sz="4" w:space="0" w:color="auto"/>
              <w:right w:val="single" w:sz="4" w:space="0" w:color="auto"/>
            </w:tcBorders>
            <w:shd w:val="clear" w:color="000000" w:fill="FFF2CC"/>
            <w:noWrap/>
            <w:vAlign w:val="center"/>
            <w:hideMark/>
          </w:tcPr>
          <w:p w14:paraId="1241A720" w14:textId="14363268" w:rsidR="00587171" w:rsidRPr="00587171" w:rsidRDefault="00587171" w:rsidP="00587171">
            <w:pPr>
              <w:spacing w:after="0" w:line="240" w:lineRule="auto"/>
              <w:jc w:val="center"/>
              <w:rPr>
                <w:rFonts w:ascii="Calibri" w:eastAsia="Times New Roman" w:hAnsi="Calibri" w:cs="Calibri"/>
                <w:b/>
                <w:bCs/>
                <w:color w:val="000000"/>
              </w:rPr>
            </w:pPr>
            <w:r w:rsidRPr="00587171">
              <w:rPr>
                <w:rFonts w:ascii="Calibri" w:eastAsia="Times New Roman" w:hAnsi="Calibri" w:cs="Calibri"/>
                <w:b/>
                <w:bCs/>
                <w:color w:val="000000"/>
              </w:rPr>
              <w:t>1</w:t>
            </w:r>
            <w:r w:rsidR="004923FF">
              <w:rPr>
                <w:rFonts w:ascii="Calibri" w:eastAsia="Times New Roman" w:hAnsi="Calibri" w:cs="Calibri"/>
                <w:b/>
                <w:bCs/>
                <w:color w:val="000000"/>
              </w:rPr>
              <w:t>3</w:t>
            </w:r>
            <w:r w:rsidRPr="00587171">
              <w:rPr>
                <w:rFonts w:ascii="Calibri" w:eastAsia="Times New Roman" w:hAnsi="Calibri" w:cs="Calibri"/>
                <w:b/>
                <w:bCs/>
                <w:color w:val="000000"/>
              </w:rPr>
              <w:t>.9</w:t>
            </w:r>
          </w:p>
        </w:tc>
      </w:tr>
    </w:tbl>
    <w:p w14:paraId="7B47858F" w14:textId="560AF1B1" w:rsidR="009E71EE" w:rsidRPr="00EB66AE" w:rsidRDefault="00587171" w:rsidP="00322185">
      <w:pPr>
        <w:pStyle w:val="Caption"/>
        <w:jc w:val="center"/>
        <w:rPr>
          <w:rFonts w:ascii="Arial" w:hAnsi="Arial" w:cs="Arial"/>
          <w:sz w:val="20"/>
        </w:rPr>
      </w:pPr>
      <w:bookmarkStart w:id="26" w:name="_Ref14175188"/>
      <w:r w:rsidRPr="00EB66AE">
        <w:rPr>
          <w:rFonts w:ascii="Arial" w:hAnsi="Arial" w:cs="Arial"/>
          <w:sz w:val="20"/>
        </w:rPr>
        <w:t xml:space="preserve">Table </w:t>
      </w:r>
      <w:r w:rsidR="00D16E23" w:rsidRPr="00EB66AE">
        <w:rPr>
          <w:rFonts w:ascii="Arial" w:hAnsi="Arial" w:cs="Arial"/>
          <w:sz w:val="20"/>
        </w:rPr>
        <w:fldChar w:fldCharType="begin"/>
      </w:r>
      <w:r w:rsidR="00D16E23" w:rsidRPr="00EB66AE">
        <w:rPr>
          <w:rFonts w:ascii="Arial" w:hAnsi="Arial" w:cs="Arial"/>
          <w:sz w:val="20"/>
        </w:rPr>
        <w:instrText xml:space="preserve"> SEQ Table \* ARABIC </w:instrText>
      </w:r>
      <w:r w:rsidR="00D16E23" w:rsidRPr="00EB66AE">
        <w:rPr>
          <w:rFonts w:ascii="Arial" w:hAnsi="Arial" w:cs="Arial"/>
          <w:sz w:val="20"/>
        </w:rPr>
        <w:fldChar w:fldCharType="separate"/>
      </w:r>
      <w:r w:rsidR="00A34377">
        <w:rPr>
          <w:rFonts w:ascii="Arial" w:hAnsi="Arial" w:cs="Arial"/>
          <w:noProof/>
          <w:sz w:val="20"/>
        </w:rPr>
        <w:t>2</w:t>
      </w:r>
      <w:r w:rsidR="00D16E23" w:rsidRPr="00EB66AE">
        <w:rPr>
          <w:rFonts w:ascii="Arial" w:hAnsi="Arial" w:cs="Arial"/>
          <w:noProof/>
          <w:sz w:val="20"/>
        </w:rPr>
        <w:fldChar w:fldCharType="end"/>
      </w:r>
      <w:bookmarkEnd w:id="26"/>
      <w:r w:rsidRPr="00EB66AE">
        <w:rPr>
          <w:rFonts w:ascii="Arial" w:hAnsi="Arial" w:cs="Arial"/>
          <w:sz w:val="20"/>
        </w:rPr>
        <w:t>: LEO link budget calculation</w:t>
      </w:r>
      <w:r w:rsidR="0062014D">
        <w:rPr>
          <w:rFonts w:ascii="Arial" w:hAnsi="Arial" w:cs="Arial"/>
          <w:sz w:val="20"/>
        </w:rPr>
        <w:t xml:space="preserve"> for 30 degree elevation angle</w:t>
      </w:r>
      <w:r w:rsidRPr="00EB66AE">
        <w:rPr>
          <w:rFonts w:ascii="Arial" w:hAnsi="Arial" w:cs="Arial"/>
          <w:sz w:val="20"/>
        </w:rPr>
        <w:t>: Set-1 satellite parameters</w:t>
      </w:r>
    </w:p>
    <w:p w14:paraId="67ABC018" w14:textId="229F1672" w:rsidR="00BE6931" w:rsidRDefault="0004603E" w:rsidP="0004603E">
      <w:pPr>
        <w:pStyle w:val="Heading2"/>
      </w:pPr>
      <w:r>
        <w:t>3.</w:t>
      </w:r>
      <w:r w:rsidR="0036416F">
        <w:t>3</w:t>
      </w:r>
      <w:r>
        <w:tab/>
        <w:t>Noise + interference</w:t>
      </w:r>
    </w:p>
    <w:p w14:paraId="55DF2F40" w14:textId="0816BF8E" w:rsidR="0000023C" w:rsidRDefault="00E95496" w:rsidP="0000023C">
      <w:pPr>
        <w:jc w:val="both"/>
        <w:rPr>
          <w:rFonts w:ascii="Arial" w:hAnsi="Arial" w:cs="Arial"/>
          <w:sz w:val="20"/>
          <w:szCs w:val="20"/>
          <w:lang w:eastAsia="ja-JP"/>
        </w:rPr>
      </w:pPr>
      <w:r w:rsidRPr="00F22649">
        <w:rPr>
          <w:rFonts w:ascii="Arial" w:hAnsi="Arial" w:cs="Arial"/>
          <w:sz w:val="20"/>
          <w:szCs w:val="20"/>
          <w:lang w:eastAsia="en-GB"/>
        </w:rPr>
        <w:t xml:space="preserve">As discussed in the last RAN1 meeting, the outcome of the link budget analysis should be </w:t>
      </w:r>
      <w:r w:rsidR="0000023C" w:rsidRPr="00F22649">
        <w:rPr>
          <w:rFonts w:ascii="Arial" w:hAnsi="Arial" w:cs="Arial"/>
          <w:sz w:val="20"/>
          <w:szCs w:val="20"/>
          <w:lang w:eastAsia="en-GB"/>
        </w:rPr>
        <w:t xml:space="preserve">Carrier-to-noise-and-interference ratio (CNIR) of transmission link between satellite and UE. The derivation of CINR needs both carrier-to-noise ratio (CNR) and carrier-to-interference ratio (CIR). The above discussions focus on CNR, while the analysis on CIR requires system-level evaluation and it is not possible yet given </w:t>
      </w:r>
      <w:r w:rsidR="007C1112" w:rsidRPr="00F22649">
        <w:rPr>
          <w:rFonts w:ascii="Arial" w:hAnsi="Arial" w:cs="Arial"/>
          <w:sz w:val="20"/>
          <w:szCs w:val="20"/>
          <w:lang w:eastAsia="en-GB"/>
        </w:rPr>
        <w:t>the</w:t>
      </w:r>
      <w:r w:rsidR="0000023C" w:rsidRPr="001A0440">
        <w:rPr>
          <w:rFonts w:ascii="Arial" w:hAnsi="Arial" w:cs="Arial"/>
          <w:sz w:val="20"/>
          <w:szCs w:val="20"/>
          <w:lang w:eastAsia="ja-JP"/>
        </w:rPr>
        <w:t xml:space="preserve"> unresolved issues as detailed in Section 2. We suggest that RAN1 should continue link budget analysis by incorporating CIR. </w:t>
      </w:r>
    </w:p>
    <w:p w14:paraId="150FE652" w14:textId="08C6AC64" w:rsidR="00121032" w:rsidRDefault="00121032" w:rsidP="0000023C">
      <w:pPr>
        <w:jc w:val="both"/>
        <w:rPr>
          <w:rFonts w:ascii="Arial" w:hAnsi="Arial" w:cs="Arial"/>
          <w:sz w:val="20"/>
          <w:szCs w:val="20"/>
          <w:lang w:eastAsia="ja-JP"/>
        </w:rPr>
      </w:pPr>
      <w:r>
        <w:rPr>
          <w:rFonts w:ascii="Arial" w:hAnsi="Arial" w:cs="Arial"/>
          <w:sz w:val="20"/>
          <w:szCs w:val="20"/>
          <w:lang w:eastAsia="ja-JP"/>
        </w:rPr>
        <w:t xml:space="preserve">To </w:t>
      </w:r>
      <w:r w:rsidR="00987A1F">
        <w:rPr>
          <w:rFonts w:ascii="Arial" w:hAnsi="Arial" w:cs="Arial"/>
          <w:sz w:val="20"/>
          <w:szCs w:val="20"/>
          <w:lang w:eastAsia="ja-JP"/>
        </w:rPr>
        <w:t>illustrate</w:t>
      </w:r>
      <w:r>
        <w:rPr>
          <w:rFonts w:ascii="Arial" w:hAnsi="Arial" w:cs="Arial"/>
          <w:sz w:val="20"/>
          <w:szCs w:val="20"/>
          <w:lang w:eastAsia="ja-JP"/>
        </w:rPr>
        <w:t xml:space="preserve"> the impact of CIR on the link budget, we </w:t>
      </w:r>
      <w:r w:rsidRPr="001A0440">
        <w:rPr>
          <w:rFonts w:ascii="Arial" w:hAnsi="Arial" w:cs="Arial"/>
          <w:sz w:val="20"/>
          <w:szCs w:val="20"/>
          <w:lang w:eastAsia="ja-JP"/>
        </w:rPr>
        <w:t xml:space="preserve">have conducted </w:t>
      </w:r>
      <w:r>
        <w:rPr>
          <w:rFonts w:ascii="Arial" w:hAnsi="Arial" w:cs="Arial"/>
          <w:sz w:val="20"/>
          <w:szCs w:val="20"/>
          <w:lang w:eastAsia="ja-JP"/>
        </w:rPr>
        <w:t xml:space="preserve">an </w:t>
      </w:r>
      <w:r w:rsidRPr="00F22649">
        <w:rPr>
          <w:rFonts w:ascii="Arial" w:hAnsi="Arial" w:cs="Arial"/>
          <w:sz w:val="20"/>
          <w:szCs w:val="20"/>
          <w:lang w:eastAsia="ja-JP"/>
        </w:rPr>
        <w:t>initial evaluation of</w:t>
      </w:r>
      <w:r w:rsidR="00E82E70">
        <w:rPr>
          <w:rFonts w:ascii="Arial" w:hAnsi="Arial" w:cs="Arial"/>
          <w:sz w:val="20"/>
          <w:szCs w:val="20"/>
          <w:lang w:eastAsia="ja-JP"/>
        </w:rPr>
        <w:t xml:space="preserve"> the</w:t>
      </w:r>
      <w:r w:rsidRPr="00F22649">
        <w:rPr>
          <w:rFonts w:ascii="Arial" w:hAnsi="Arial" w:cs="Arial"/>
          <w:sz w:val="20"/>
          <w:szCs w:val="20"/>
          <w:lang w:eastAsia="ja-JP"/>
        </w:rPr>
        <w:t xml:space="preserve"> </w:t>
      </w:r>
      <w:r>
        <w:rPr>
          <w:rFonts w:ascii="Arial" w:hAnsi="Arial" w:cs="Arial"/>
          <w:sz w:val="20"/>
          <w:szCs w:val="20"/>
          <w:lang w:eastAsia="ja-JP"/>
        </w:rPr>
        <w:t>geometry</w:t>
      </w:r>
      <w:r w:rsidRPr="00F22649">
        <w:rPr>
          <w:rFonts w:ascii="Arial" w:hAnsi="Arial" w:cs="Arial"/>
          <w:sz w:val="20"/>
          <w:szCs w:val="20"/>
          <w:lang w:eastAsia="ja-JP"/>
        </w:rPr>
        <w:t xml:space="preserve"> in an NTN scenario</w:t>
      </w:r>
      <w:r>
        <w:rPr>
          <w:rFonts w:ascii="Arial" w:hAnsi="Arial" w:cs="Arial"/>
          <w:sz w:val="20"/>
          <w:szCs w:val="20"/>
          <w:lang w:eastAsia="ja-JP"/>
        </w:rPr>
        <w:t xml:space="preserve"> for 600 km LEO in S band at 90 degree elevation angle. </w:t>
      </w:r>
      <w:r w:rsidRPr="00A34377">
        <w:rPr>
          <w:rFonts w:ascii="Arial" w:hAnsi="Arial" w:cs="Arial"/>
          <w:sz w:val="20"/>
          <w:szCs w:val="20"/>
          <w:lang w:eastAsia="ja-JP"/>
        </w:rPr>
        <w:fldChar w:fldCharType="begin"/>
      </w:r>
      <w:r w:rsidRPr="00A34377">
        <w:rPr>
          <w:rFonts w:ascii="Arial" w:hAnsi="Arial" w:cs="Arial"/>
          <w:sz w:val="20"/>
          <w:szCs w:val="20"/>
          <w:lang w:eastAsia="ja-JP"/>
        </w:rPr>
        <w:instrText xml:space="preserve"> REF _Ref16754028 \h </w:instrText>
      </w:r>
      <w:r w:rsidR="00A34377" w:rsidRPr="00A34377">
        <w:rPr>
          <w:rFonts w:ascii="Arial" w:hAnsi="Arial" w:cs="Arial"/>
          <w:sz w:val="20"/>
          <w:szCs w:val="20"/>
          <w:lang w:eastAsia="ja-JP"/>
        </w:rPr>
        <w:instrText xml:space="preserve"> \* MERGEFORMAT </w:instrText>
      </w:r>
      <w:r w:rsidRPr="00A34377">
        <w:rPr>
          <w:rFonts w:ascii="Arial" w:hAnsi="Arial" w:cs="Arial"/>
          <w:sz w:val="20"/>
          <w:szCs w:val="20"/>
          <w:lang w:eastAsia="ja-JP"/>
        </w:rPr>
      </w:r>
      <w:r w:rsidRPr="00A34377">
        <w:rPr>
          <w:rFonts w:ascii="Arial" w:hAnsi="Arial" w:cs="Arial"/>
          <w:sz w:val="20"/>
          <w:szCs w:val="20"/>
          <w:lang w:eastAsia="ja-JP"/>
        </w:rPr>
        <w:fldChar w:fldCharType="separate"/>
      </w:r>
      <w:r w:rsidR="00A34377" w:rsidRPr="00A34377">
        <w:rPr>
          <w:rFonts w:ascii="Arial" w:hAnsi="Arial" w:cs="Arial"/>
          <w:sz w:val="20"/>
        </w:rPr>
        <w:t xml:space="preserve">Figure </w:t>
      </w:r>
      <w:r w:rsidR="00A34377" w:rsidRPr="00A34377">
        <w:rPr>
          <w:rFonts w:ascii="Arial" w:hAnsi="Arial" w:cs="Arial"/>
          <w:noProof/>
          <w:sz w:val="20"/>
        </w:rPr>
        <w:t>2</w:t>
      </w:r>
      <w:r w:rsidRPr="00A34377">
        <w:rPr>
          <w:rFonts w:ascii="Arial" w:hAnsi="Arial" w:cs="Arial"/>
          <w:sz w:val="20"/>
          <w:szCs w:val="20"/>
          <w:lang w:eastAsia="ja-JP"/>
        </w:rPr>
        <w:fldChar w:fldCharType="end"/>
      </w:r>
      <w:r>
        <w:rPr>
          <w:rFonts w:ascii="Arial" w:hAnsi="Arial" w:cs="Arial"/>
          <w:sz w:val="20"/>
          <w:szCs w:val="20"/>
          <w:lang w:eastAsia="ja-JP"/>
        </w:rPr>
        <w:t xml:space="preserve"> shows the geometry SIR (i.e., CIR) distribution for the inner 19 beams based on the setup depicted </w:t>
      </w:r>
      <w:r w:rsidRPr="00A34377">
        <w:rPr>
          <w:rFonts w:ascii="Arial" w:hAnsi="Arial" w:cs="Arial"/>
          <w:sz w:val="20"/>
          <w:szCs w:val="20"/>
          <w:lang w:eastAsia="ja-JP"/>
        </w:rPr>
        <w:t xml:space="preserve">in </w:t>
      </w:r>
      <w:r w:rsidRPr="00A34377">
        <w:rPr>
          <w:rFonts w:ascii="Arial" w:hAnsi="Arial" w:cs="Arial"/>
          <w:sz w:val="20"/>
          <w:szCs w:val="20"/>
          <w:lang w:eastAsia="ja-JP"/>
        </w:rPr>
        <w:fldChar w:fldCharType="begin"/>
      </w:r>
      <w:r w:rsidRPr="00A34377">
        <w:rPr>
          <w:rFonts w:ascii="Arial" w:hAnsi="Arial" w:cs="Arial"/>
          <w:sz w:val="20"/>
          <w:szCs w:val="20"/>
          <w:lang w:eastAsia="ja-JP"/>
        </w:rPr>
        <w:instrText xml:space="preserve"> REF _Ref16686255 \h </w:instrText>
      </w:r>
      <w:r w:rsidR="00A34377" w:rsidRPr="00A34377">
        <w:rPr>
          <w:rFonts w:ascii="Arial" w:hAnsi="Arial" w:cs="Arial"/>
          <w:sz w:val="20"/>
          <w:szCs w:val="20"/>
          <w:lang w:eastAsia="ja-JP"/>
        </w:rPr>
        <w:instrText xml:space="preserve"> \* MERGEFORMAT </w:instrText>
      </w:r>
      <w:r w:rsidRPr="00A34377">
        <w:rPr>
          <w:rFonts w:ascii="Arial" w:hAnsi="Arial" w:cs="Arial"/>
          <w:sz w:val="20"/>
          <w:szCs w:val="20"/>
          <w:lang w:eastAsia="ja-JP"/>
        </w:rPr>
      </w:r>
      <w:r w:rsidRPr="00A34377">
        <w:rPr>
          <w:rFonts w:ascii="Arial" w:hAnsi="Arial" w:cs="Arial"/>
          <w:sz w:val="20"/>
          <w:szCs w:val="20"/>
          <w:lang w:eastAsia="ja-JP"/>
        </w:rPr>
        <w:fldChar w:fldCharType="separate"/>
      </w:r>
      <w:r w:rsidR="00A34377" w:rsidRPr="00A34377">
        <w:rPr>
          <w:rFonts w:ascii="Arial" w:hAnsi="Arial" w:cs="Arial"/>
          <w:sz w:val="20"/>
        </w:rPr>
        <w:t xml:space="preserve">Figure </w:t>
      </w:r>
      <w:r w:rsidR="00A34377" w:rsidRPr="00A34377">
        <w:rPr>
          <w:rFonts w:ascii="Arial" w:hAnsi="Arial" w:cs="Arial"/>
          <w:noProof/>
          <w:sz w:val="20"/>
        </w:rPr>
        <w:t>3</w:t>
      </w:r>
      <w:r w:rsidRPr="00A34377">
        <w:rPr>
          <w:rFonts w:ascii="Arial" w:hAnsi="Arial" w:cs="Arial"/>
          <w:sz w:val="20"/>
          <w:szCs w:val="20"/>
          <w:lang w:eastAsia="ja-JP"/>
        </w:rPr>
        <w:fldChar w:fldCharType="end"/>
      </w:r>
      <w:r>
        <w:rPr>
          <w:rFonts w:ascii="Arial" w:hAnsi="Arial" w:cs="Arial"/>
          <w:sz w:val="20"/>
          <w:szCs w:val="20"/>
          <w:lang w:eastAsia="ja-JP"/>
        </w:rPr>
        <w:t>.</w:t>
      </w:r>
      <w:r w:rsidR="00987A1F">
        <w:rPr>
          <w:rFonts w:ascii="Arial" w:hAnsi="Arial" w:cs="Arial"/>
          <w:sz w:val="20"/>
          <w:szCs w:val="20"/>
          <w:lang w:eastAsia="ja-JP"/>
        </w:rPr>
        <w:t xml:space="preserve"> The link budget calculation results are summarized in </w:t>
      </w:r>
      <w:r w:rsidR="00987A1F">
        <w:rPr>
          <w:rFonts w:ascii="Arial" w:hAnsi="Arial" w:cs="Arial"/>
          <w:sz w:val="20"/>
          <w:szCs w:val="20"/>
          <w:lang w:eastAsia="ja-JP"/>
        </w:rPr>
        <w:fldChar w:fldCharType="begin"/>
      </w:r>
      <w:r w:rsidR="00987A1F">
        <w:rPr>
          <w:rFonts w:ascii="Arial" w:hAnsi="Arial" w:cs="Arial"/>
          <w:sz w:val="20"/>
          <w:szCs w:val="20"/>
          <w:lang w:eastAsia="ja-JP"/>
        </w:rPr>
        <w:instrText xml:space="preserve"> REF _Ref16755005 \h </w:instrText>
      </w:r>
      <w:r w:rsidR="00987A1F">
        <w:rPr>
          <w:rFonts w:ascii="Arial" w:hAnsi="Arial" w:cs="Arial"/>
          <w:sz w:val="20"/>
          <w:szCs w:val="20"/>
          <w:lang w:eastAsia="ja-JP"/>
        </w:rPr>
      </w:r>
      <w:r w:rsidR="00987A1F">
        <w:rPr>
          <w:rFonts w:ascii="Arial" w:hAnsi="Arial" w:cs="Arial"/>
          <w:sz w:val="20"/>
          <w:szCs w:val="20"/>
          <w:lang w:eastAsia="ja-JP"/>
        </w:rPr>
        <w:fldChar w:fldCharType="separate"/>
      </w:r>
      <w:r w:rsidR="00A34377" w:rsidRPr="00133CA6">
        <w:rPr>
          <w:rFonts w:ascii="Arial" w:hAnsi="Arial" w:cs="Arial"/>
          <w:sz w:val="20"/>
        </w:rPr>
        <w:t xml:space="preserve">Table </w:t>
      </w:r>
      <w:r w:rsidR="00A34377">
        <w:rPr>
          <w:rFonts w:ascii="Arial" w:hAnsi="Arial" w:cs="Arial"/>
          <w:noProof/>
          <w:sz w:val="20"/>
        </w:rPr>
        <w:t>3</w:t>
      </w:r>
      <w:r w:rsidR="00987A1F">
        <w:rPr>
          <w:rFonts w:ascii="Arial" w:hAnsi="Arial" w:cs="Arial"/>
          <w:sz w:val="20"/>
          <w:szCs w:val="20"/>
          <w:lang w:eastAsia="ja-JP"/>
        </w:rPr>
        <w:fldChar w:fldCharType="end"/>
      </w:r>
      <w:r w:rsidR="00987A1F">
        <w:rPr>
          <w:rFonts w:ascii="Arial" w:hAnsi="Arial" w:cs="Arial"/>
          <w:sz w:val="20"/>
          <w:szCs w:val="20"/>
          <w:lang w:eastAsia="ja-JP"/>
        </w:rPr>
        <w:t>. It can be seen that though DL CNR is high (13.9 dB), the geometry CIR values are low: -2.73 dB, -1.1 dB, 0.78 dB at the 10</w:t>
      </w:r>
      <w:r w:rsidR="00987A1F" w:rsidRPr="00EB66AE">
        <w:rPr>
          <w:rFonts w:ascii="Arial" w:hAnsi="Arial" w:cs="Arial"/>
          <w:sz w:val="20"/>
          <w:szCs w:val="20"/>
          <w:vertAlign w:val="superscript"/>
          <w:lang w:eastAsia="ja-JP"/>
        </w:rPr>
        <w:t>th</w:t>
      </w:r>
      <w:r w:rsidR="00987A1F">
        <w:rPr>
          <w:rFonts w:ascii="Arial" w:hAnsi="Arial" w:cs="Arial"/>
          <w:sz w:val="20"/>
          <w:szCs w:val="20"/>
          <w:lang w:eastAsia="ja-JP"/>
        </w:rPr>
        <w:t xml:space="preserve"> percentile, 50</w:t>
      </w:r>
      <w:r w:rsidR="00987A1F" w:rsidRPr="00EB66AE">
        <w:rPr>
          <w:rFonts w:ascii="Arial" w:hAnsi="Arial" w:cs="Arial"/>
          <w:sz w:val="20"/>
          <w:szCs w:val="20"/>
          <w:vertAlign w:val="superscript"/>
          <w:lang w:eastAsia="ja-JP"/>
        </w:rPr>
        <w:t>th</w:t>
      </w:r>
      <w:r w:rsidR="00987A1F">
        <w:rPr>
          <w:rFonts w:ascii="Arial" w:hAnsi="Arial" w:cs="Arial"/>
          <w:sz w:val="20"/>
          <w:szCs w:val="20"/>
          <w:lang w:eastAsia="ja-JP"/>
        </w:rPr>
        <w:t xml:space="preserve"> percentile, and 90 percentile, respectively. As a result, the corresponding DL CINR values (-2.82 dB, -1.24 dB, 0.57 dB) are low.  </w:t>
      </w:r>
    </w:p>
    <w:p w14:paraId="23A11323" w14:textId="34F3EA76" w:rsidR="00121032" w:rsidRDefault="00121032" w:rsidP="00987A1F">
      <w:pPr>
        <w:jc w:val="center"/>
        <w:rPr>
          <w:rFonts w:ascii="Arial" w:hAnsi="Arial" w:cs="Arial"/>
          <w:sz w:val="20"/>
          <w:szCs w:val="20"/>
          <w:lang w:eastAsia="ja-JP"/>
        </w:rPr>
      </w:pPr>
      <w:r>
        <w:rPr>
          <w:noProof/>
        </w:rPr>
        <w:drawing>
          <wp:inline distT="0" distB="0" distL="0" distR="0" wp14:anchorId="0C76732F" wp14:editId="6274672C">
            <wp:extent cx="4344040" cy="3263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46742" cy="3265930"/>
                    </a:xfrm>
                    <a:prstGeom prst="rect">
                      <a:avLst/>
                    </a:prstGeom>
                  </pic:spPr>
                </pic:pic>
              </a:graphicData>
            </a:graphic>
          </wp:inline>
        </w:drawing>
      </w:r>
    </w:p>
    <w:p w14:paraId="14559965" w14:textId="6B006945" w:rsidR="00121032" w:rsidRDefault="00121032" w:rsidP="00987A1F">
      <w:pPr>
        <w:jc w:val="center"/>
        <w:rPr>
          <w:rFonts w:ascii="Arial" w:hAnsi="Arial" w:cs="Arial"/>
          <w:b/>
          <w:sz w:val="20"/>
        </w:rPr>
      </w:pPr>
      <w:bookmarkStart w:id="27" w:name="_Ref16754028"/>
      <w:r w:rsidRPr="00133CA6">
        <w:rPr>
          <w:rFonts w:ascii="Arial" w:hAnsi="Arial" w:cs="Arial"/>
          <w:b/>
          <w:sz w:val="20"/>
        </w:rPr>
        <w:t xml:space="preserve">Figure </w:t>
      </w:r>
      <w:r w:rsidRPr="00133CA6">
        <w:rPr>
          <w:rFonts w:ascii="Arial" w:hAnsi="Arial" w:cs="Arial"/>
          <w:b/>
          <w:sz w:val="20"/>
        </w:rPr>
        <w:fldChar w:fldCharType="begin"/>
      </w:r>
      <w:r w:rsidRPr="00133CA6">
        <w:rPr>
          <w:rFonts w:ascii="Arial" w:hAnsi="Arial" w:cs="Arial"/>
          <w:b/>
          <w:sz w:val="20"/>
        </w:rPr>
        <w:instrText xml:space="preserve"> SEQ Figure \* ARABIC </w:instrText>
      </w:r>
      <w:r w:rsidRPr="00133CA6">
        <w:rPr>
          <w:rFonts w:ascii="Arial" w:hAnsi="Arial" w:cs="Arial"/>
          <w:b/>
          <w:sz w:val="20"/>
        </w:rPr>
        <w:fldChar w:fldCharType="separate"/>
      </w:r>
      <w:r w:rsidR="00A34377">
        <w:rPr>
          <w:rFonts w:ascii="Arial" w:hAnsi="Arial" w:cs="Arial"/>
          <w:b/>
          <w:noProof/>
          <w:sz w:val="20"/>
        </w:rPr>
        <w:t>2</w:t>
      </w:r>
      <w:r w:rsidRPr="00133CA6">
        <w:rPr>
          <w:rFonts w:ascii="Arial" w:hAnsi="Arial" w:cs="Arial"/>
          <w:b/>
          <w:sz w:val="20"/>
        </w:rPr>
        <w:fldChar w:fldCharType="end"/>
      </w:r>
      <w:bookmarkEnd w:id="27"/>
      <w:r w:rsidRPr="00133CA6">
        <w:rPr>
          <w:rFonts w:ascii="Arial" w:hAnsi="Arial" w:cs="Arial"/>
          <w:b/>
          <w:sz w:val="20"/>
        </w:rPr>
        <w:t xml:space="preserve">: </w:t>
      </w:r>
      <w:r>
        <w:rPr>
          <w:rFonts w:ascii="Arial" w:hAnsi="Arial" w:cs="Arial"/>
          <w:b/>
          <w:sz w:val="20"/>
        </w:rPr>
        <w:t xml:space="preserve">Geometry SIR (i.e., CIR) distribution for the inner 19 beams based on the setup depicted in </w:t>
      </w:r>
      <w:r>
        <w:rPr>
          <w:rFonts w:ascii="Arial" w:hAnsi="Arial" w:cs="Arial"/>
          <w:b/>
          <w:sz w:val="20"/>
        </w:rPr>
        <w:fldChar w:fldCharType="begin"/>
      </w:r>
      <w:r>
        <w:rPr>
          <w:rFonts w:ascii="Arial" w:hAnsi="Arial" w:cs="Arial"/>
          <w:b/>
          <w:sz w:val="20"/>
        </w:rPr>
        <w:instrText xml:space="preserve"> REF _Ref16686255 \h </w:instrText>
      </w:r>
      <w:r>
        <w:rPr>
          <w:rFonts w:ascii="Arial" w:hAnsi="Arial" w:cs="Arial"/>
          <w:b/>
          <w:sz w:val="20"/>
        </w:rPr>
      </w:r>
      <w:r>
        <w:rPr>
          <w:rFonts w:ascii="Arial" w:hAnsi="Arial" w:cs="Arial"/>
          <w:b/>
          <w:sz w:val="20"/>
        </w:rPr>
        <w:fldChar w:fldCharType="separate"/>
      </w:r>
      <w:r w:rsidR="00A34377" w:rsidRPr="00EB66AE">
        <w:rPr>
          <w:rFonts w:ascii="Arial" w:hAnsi="Arial" w:cs="Arial"/>
          <w:b/>
          <w:sz w:val="20"/>
        </w:rPr>
        <w:t xml:space="preserve">Figure </w:t>
      </w:r>
      <w:r w:rsidR="00A34377">
        <w:rPr>
          <w:rFonts w:ascii="Arial" w:hAnsi="Arial" w:cs="Arial"/>
          <w:b/>
          <w:noProof/>
          <w:sz w:val="20"/>
        </w:rPr>
        <w:t>3</w:t>
      </w:r>
      <w:r>
        <w:rPr>
          <w:rFonts w:ascii="Arial" w:hAnsi="Arial" w:cs="Arial"/>
          <w:b/>
          <w:sz w:val="20"/>
        </w:rPr>
        <w:fldChar w:fldCharType="end"/>
      </w:r>
      <w:r>
        <w:rPr>
          <w:rFonts w:ascii="Arial" w:hAnsi="Arial" w:cs="Arial"/>
          <w:b/>
          <w:sz w:val="20"/>
        </w:rPr>
        <w:t>.</w:t>
      </w:r>
    </w:p>
    <w:tbl>
      <w:tblPr>
        <w:tblStyle w:val="TableGrid"/>
        <w:tblW w:w="0" w:type="auto"/>
        <w:tblLook w:val="04A0" w:firstRow="1" w:lastRow="0" w:firstColumn="1" w:lastColumn="0" w:noHBand="0" w:noVBand="1"/>
      </w:tblPr>
      <w:tblGrid>
        <w:gridCol w:w="2407"/>
        <w:gridCol w:w="2407"/>
        <w:gridCol w:w="2407"/>
        <w:gridCol w:w="2408"/>
      </w:tblGrid>
      <w:tr w:rsidR="0062014D" w14:paraId="28D12EA1" w14:textId="77777777" w:rsidTr="0062014D">
        <w:tc>
          <w:tcPr>
            <w:tcW w:w="2407" w:type="dxa"/>
          </w:tcPr>
          <w:p w14:paraId="71F56E00" w14:textId="5BCDF6AB" w:rsidR="0062014D" w:rsidRDefault="0062014D" w:rsidP="00987A1F">
            <w:pPr>
              <w:jc w:val="center"/>
              <w:rPr>
                <w:rFonts w:ascii="Arial" w:hAnsi="Arial" w:cs="Arial"/>
                <w:b/>
                <w:sz w:val="18"/>
                <w:szCs w:val="20"/>
                <w:lang w:eastAsia="ja-JP"/>
              </w:rPr>
            </w:pPr>
            <w:r>
              <w:rPr>
                <w:rFonts w:ascii="Arial" w:hAnsi="Arial" w:cs="Arial"/>
                <w:b/>
                <w:sz w:val="18"/>
                <w:szCs w:val="20"/>
                <w:lang w:eastAsia="ja-JP"/>
              </w:rPr>
              <w:t>DL CNR [dB]</w:t>
            </w:r>
          </w:p>
        </w:tc>
        <w:tc>
          <w:tcPr>
            <w:tcW w:w="2407" w:type="dxa"/>
          </w:tcPr>
          <w:p w14:paraId="6F89DC6D" w14:textId="3EE9D88B" w:rsidR="0062014D" w:rsidRDefault="0062014D" w:rsidP="00987A1F">
            <w:pPr>
              <w:jc w:val="center"/>
              <w:rPr>
                <w:rFonts w:ascii="Arial" w:hAnsi="Arial" w:cs="Arial"/>
                <w:b/>
                <w:sz w:val="18"/>
                <w:szCs w:val="20"/>
                <w:lang w:eastAsia="ja-JP"/>
              </w:rPr>
            </w:pPr>
            <w:r>
              <w:rPr>
                <w:rFonts w:ascii="Arial" w:hAnsi="Arial" w:cs="Arial"/>
                <w:b/>
                <w:sz w:val="18"/>
                <w:szCs w:val="20"/>
                <w:lang w:eastAsia="ja-JP"/>
              </w:rPr>
              <w:t>13.9</w:t>
            </w:r>
          </w:p>
        </w:tc>
        <w:tc>
          <w:tcPr>
            <w:tcW w:w="2407" w:type="dxa"/>
          </w:tcPr>
          <w:p w14:paraId="16DA2721" w14:textId="72693DD7" w:rsidR="0062014D" w:rsidRDefault="0062014D" w:rsidP="00987A1F">
            <w:pPr>
              <w:jc w:val="center"/>
              <w:rPr>
                <w:rFonts w:ascii="Arial" w:hAnsi="Arial" w:cs="Arial"/>
                <w:b/>
                <w:sz w:val="18"/>
                <w:szCs w:val="20"/>
                <w:lang w:eastAsia="ja-JP"/>
              </w:rPr>
            </w:pPr>
            <w:r>
              <w:rPr>
                <w:rFonts w:ascii="Arial" w:hAnsi="Arial" w:cs="Arial"/>
                <w:b/>
                <w:sz w:val="18"/>
                <w:szCs w:val="20"/>
                <w:lang w:eastAsia="ja-JP"/>
              </w:rPr>
              <w:t>13.9</w:t>
            </w:r>
          </w:p>
        </w:tc>
        <w:tc>
          <w:tcPr>
            <w:tcW w:w="2408" w:type="dxa"/>
          </w:tcPr>
          <w:p w14:paraId="4A1BD542" w14:textId="094330C4" w:rsidR="0062014D" w:rsidRDefault="0062014D" w:rsidP="00987A1F">
            <w:pPr>
              <w:jc w:val="center"/>
              <w:rPr>
                <w:rFonts w:ascii="Arial" w:hAnsi="Arial" w:cs="Arial"/>
                <w:b/>
                <w:sz w:val="18"/>
                <w:szCs w:val="20"/>
                <w:lang w:eastAsia="ja-JP"/>
              </w:rPr>
            </w:pPr>
            <w:r>
              <w:rPr>
                <w:rFonts w:ascii="Arial" w:hAnsi="Arial" w:cs="Arial"/>
                <w:b/>
                <w:sz w:val="18"/>
                <w:szCs w:val="20"/>
                <w:lang w:eastAsia="ja-JP"/>
              </w:rPr>
              <w:t>13.9</w:t>
            </w:r>
          </w:p>
        </w:tc>
      </w:tr>
      <w:tr w:rsidR="0062014D" w14:paraId="68EE1DE6" w14:textId="77777777" w:rsidTr="0062014D">
        <w:tc>
          <w:tcPr>
            <w:tcW w:w="2407" w:type="dxa"/>
          </w:tcPr>
          <w:p w14:paraId="7BF68E4E" w14:textId="184E3D49" w:rsidR="0062014D" w:rsidRDefault="0062014D" w:rsidP="00987A1F">
            <w:pPr>
              <w:jc w:val="center"/>
              <w:rPr>
                <w:rFonts w:ascii="Arial" w:hAnsi="Arial" w:cs="Arial"/>
                <w:b/>
                <w:sz w:val="18"/>
                <w:szCs w:val="20"/>
                <w:lang w:eastAsia="ja-JP"/>
              </w:rPr>
            </w:pPr>
            <w:r>
              <w:rPr>
                <w:rFonts w:ascii="Arial" w:hAnsi="Arial" w:cs="Arial"/>
                <w:b/>
                <w:sz w:val="18"/>
                <w:szCs w:val="20"/>
                <w:lang w:eastAsia="ja-JP"/>
              </w:rPr>
              <w:t>DL CIR [dB]</w:t>
            </w:r>
          </w:p>
        </w:tc>
        <w:tc>
          <w:tcPr>
            <w:tcW w:w="2407" w:type="dxa"/>
          </w:tcPr>
          <w:p w14:paraId="3CBE52E7" w14:textId="032C0493" w:rsidR="0062014D" w:rsidRDefault="0062014D" w:rsidP="00987A1F">
            <w:pPr>
              <w:jc w:val="center"/>
              <w:rPr>
                <w:rFonts w:ascii="Arial" w:hAnsi="Arial" w:cs="Arial"/>
                <w:b/>
                <w:sz w:val="18"/>
                <w:szCs w:val="20"/>
                <w:lang w:eastAsia="ja-JP"/>
              </w:rPr>
            </w:pPr>
            <w:r>
              <w:rPr>
                <w:rFonts w:ascii="Arial" w:hAnsi="Arial" w:cs="Arial"/>
                <w:b/>
                <w:sz w:val="18"/>
                <w:szCs w:val="20"/>
                <w:lang w:eastAsia="ja-JP"/>
              </w:rPr>
              <w:t>-2.73 (10</w:t>
            </w:r>
            <w:r w:rsidRPr="00EB66AE">
              <w:rPr>
                <w:rFonts w:ascii="Arial" w:hAnsi="Arial" w:cs="Arial"/>
                <w:b/>
                <w:sz w:val="18"/>
                <w:szCs w:val="20"/>
                <w:vertAlign w:val="superscript"/>
                <w:lang w:eastAsia="ja-JP"/>
              </w:rPr>
              <w:t>th</w:t>
            </w:r>
            <w:r>
              <w:rPr>
                <w:rFonts w:ascii="Arial" w:hAnsi="Arial" w:cs="Arial"/>
                <w:b/>
                <w:sz w:val="18"/>
                <w:szCs w:val="20"/>
                <w:lang w:eastAsia="ja-JP"/>
              </w:rPr>
              <w:t xml:space="preserve"> percentile)</w:t>
            </w:r>
          </w:p>
        </w:tc>
        <w:tc>
          <w:tcPr>
            <w:tcW w:w="2407" w:type="dxa"/>
          </w:tcPr>
          <w:p w14:paraId="6C7F3877" w14:textId="3CAE92EC" w:rsidR="0062014D" w:rsidRDefault="0062014D" w:rsidP="00987A1F">
            <w:pPr>
              <w:jc w:val="center"/>
              <w:rPr>
                <w:rFonts w:ascii="Arial" w:hAnsi="Arial" w:cs="Arial"/>
                <w:b/>
                <w:sz w:val="18"/>
                <w:szCs w:val="20"/>
                <w:lang w:eastAsia="ja-JP"/>
              </w:rPr>
            </w:pPr>
            <w:r>
              <w:rPr>
                <w:rFonts w:ascii="Arial" w:hAnsi="Arial" w:cs="Arial"/>
                <w:b/>
                <w:sz w:val="18"/>
                <w:szCs w:val="20"/>
                <w:lang w:eastAsia="ja-JP"/>
              </w:rPr>
              <w:t>-1.1</w:t>
            </w:r>
            <w:r w:rsidR="00987A1F">
              <w:rPr>
                <w:rFonts w:ascii="Arial" w:hAnsi="Arial" w:cs="Arial"/>
                <w:b/>
                <w:sz w:val="18"/>
                <w:szCs w:val="20"/>
                <w:lang w:eastAsia="ja-JP"/>
              </w:rPr>
              <w:t>1</w:t>
            </w:r>
            <w:r>
              <w:rPr>
                <w:rFonts w:ascii="Arial" w:hAnsi="Arial" w:cs="Arial"/>
                <w:b/>
                <w:sz w:val="18"/>
                <w:szCs w:val="20"/>
                <w:lang w:eastAsia="ja-JP"/>
              </w:rPr>
              <w:t xml:space="preserve"> (</w:t>
            </w:r>
            <w:r w:rsidR="002B6EE9">
              <w:rPr>
                <w:rFonts w:ascii="Arial" w:hAnsi="Arial" w:cs="Arial"/>
                <w:b/>
                <w:sz w:val="18"/>
                <w:szCs w:val="20"/>
                <w:lang w:eastAsia="ja-JP"/>
              </w:rPr>
              <w:t>5</w:t>
            </w:r>
            <w:r>
              <w:rPr>
                <w:rFonts w:ascii="Arial" w:hAnsi="Arial" w:cs="Arial"/>
                <w:b/>
                <w:sz w:val="18"/>
                <w:szCs w:val="20"/>
                <w:lang w:eastAsia="ja-JP"/>
              </w:rPr>
              <w:t>0</w:t>
            </w:r>
            <w:r w:rsidRPr="00133CA6">
              <w:rPr>
                <w:rFonts w:ascii="Arial" w:hAnsi="Arial" w:cs="Arial"/>
                <w:b/>
                <w:sz w:val="18"/>
                <w:szCs w:val="20"/>
                <w:vertAlign w:val="superscript"/>
                <w:lang w:eastAsia="ja-JP"/>
              </w:rPr>
              <w:t>th</w:t>
            </w:r>
            <w:r>
              <w:rPr>
                <w:rFonts w:ascii="Arial" w:hAnsi="Arial" w:cs="Arial"/>
                <w:b/>
                <w:sz w:val="18"/>
                <w:szCs w:val="20"/>
                <w:lang w:eastAsia="ja-JP"/>
              </w:rPr>
              <w:t xml:space="preserve"> percentile)</w:t>
            </w:r>
          </w:p>
        </w:tc>
        <w:tc>
          <w:tcPr>
            <w:tcW w:w="2408" w:type="dxa"/>
          </w:tcPr>
          <w:p w14:paraId="67A6112F" w14:textId="20CB9BFE" w:rsidR="0062014D" w:rsidRDefault="0062014D" w:rsidP="00987A1F">
            <w:pPr>
              <w:jc w:val="center"/>
              <w:rPr>
                <w:rFonts w:ascii="Arial" w:hAnsi="Arial" w:cs="Arial"/>
                <w:b/>
                <w:sz w:val="18"/>
                <w:szCs w:val="20"/>
                <w:lang w:eastAsia="ja-JP"/>
              </w:rPr>
            </w:pPr>
            <w:r>
              <w:rPr>
                <w:rFonts w:ascii="Arial" w:hAnsi="Arial" w:cs="Arial"/>
                <w:b/>
                <w:sz w:val="18"/>
                <w:szCs w:val="20"/>
                <w:lang w:eastAsia="ja-JP"/>
              </w:rPr>
              <w:t>0.78 (90</w:t>
            </w:r>
            <w:r w:rsidRPr="00133CA6">
              <w:rPr>
                <w:rFonts w:ascii="Arial" w:hAnsi="Arial" w:cs="Arial"/>
                <w:b/>
                <w:sz w:val="18"/>
                <w:szCs w:val="20"/>
                <w:vertAlign w:val="superscript"/>
                <w:lang w:eastAsia="ja-JP"/>
              </w:rPr>
              <w:t>th</w:t>
            </w:r>
            <w:r>
              <w:rPr>
                <w:rFonts w:ascii="Arial" w:hAnsi="Arial" w:cs="Arial"/>
                <w:b/>
                <w:sz w:val="18"/>
                <w:szCs w:val="20"/>
                <w:lang w:eastAsia="ja-JP"/>
              </w:rPr>
              <w:t xml:space="preserve"> percentile)</w:t>
            </w:r>
          </w:p>
        </w:tc>
      </w:tr>
      <w:tr w:rsidR="0062014D" w14:paraId="2DE033AB" w14:textId="77777777" w:rsidTr="0062014D">
        <w:tc>
          <w:tcPr>
            <w:tcW w:w="2407" w:type="dxa"/>
          </w:tcPr>
          <w:p w14:paraId="11FDFAFE" w14:textId="59CEA952" w:rsidR="0062014D" w:rsidRDefault="0062014D" w:rsidP="00987A1F">
            <w:pPr>
              <w:jc w:val="center"/>
              <w:rPr>
                <w:rFonts w:ascii="Arial" w:hAnsi="Arial" w:cs="Arial"/>
                <w:b/>
                <w:sz w:val="18"/>
                <w:szCs w:val="20"/>
                <w:lang w:eastAsia="ja-JP"/>
              </w:rPr>
            </w:pPr>
            <w:r>
              <w:rPr>
                <w:rFonts w:ascii="Arial" w:hAnsi="Arial" w:cs="Arial"/>
                <w:b/>
                <w:sz w:val="18"/>
                <w:szCs w:val="20"/>
                <w:lang w:eastAsia="ja-JP"/>
              </w:rPr>
              <w:t>DL CINR [dB]</w:t>
            </w:r>
          </w:p>
        </w:tc>
        <w:tc>
          <w:tcPr>
            <w:tcW w:w="2407" w:type="dxa"/>
          </w:tcPr>
          <w:p w14:paraId="57928E1B" w14:textId="45C6396E" w:rsidR="0062014D" w:rsidRDefault="0062014D" w:rsidP="00987A1F">
            <w:pPr>
              <w:jc w:val="center"/>
              <w:rPr>
                <w:rFonts w:ascii="Arial" w:hAnsi="Arial" w:cs="Arial"/>
                <w:b/>
                <w:sz w:val="18"/>
                <w:szCs w:val="20"/>
                <w:lang w:eastAsia="ja-JP"/>
              </w:rPr>
            </w:pPr>
            <w:r>
              <w:rPr>
                <w:rFonts w:ascii="Arial" w:hAnsi="Arial" w:cs="Arial"/>
                <w:b/>
                <w:sz w:val="18"/>
                <w:szCs w:val="20"/>
                <w:lang w:eastAsia="ja-JP"/>
              </w:rPr>
              <w:t>-2.82</w:t>
            </w:r>
          </w:p>
        </w:tc>
        <w:tc>
          <w:tcPr>
            <w:tcW w:w="2407" w:type="dxa"/>
          </w:tcPr>
          <w:p w14:paraId="2C62859D" w14:textId="27A53ABF" w:rsidR="0062014D" w:rsidRDefault="00987A1F" w:rsidP="00987A1F">
            <w:pPr>
              <w:jc w:val="center"/>
              <w:rPr>
                <w:rFonts w:ascii="Arial" w:hAnsi="Arial" w:cs="Arial"/>
                <w:b/>
                <w:sz w:val="18"/>
                <w:szCs w:val="20"/>
                <w:lang w:eastAsia="ja-JP"/>
              </w:rPr>
            </w:pPr>
            <w:r>
              <w:rPr>
                <w:rFonts w:ascii="Arial" w:hAnsi="Arial" w:cs="Arial"/>
                <w:b/>
                <w:sz w:val="18"/>
                <w:szCs w:val="20"/>
                <w:lang w:eastAsia="ja-JP"/>
              </w:rPr>
              <w:t>-1.24</w:t>
            </w:r>
          </w:p>
        </w:tc>
        <w:tc>
          <w:tcPr>
            <w:tcW w:w="2408" w:type="dxa"/>
          </w:tcPr>
          <w:p w14:paraId="5AACAFC6" w14:textId="301DBFA0" w:rsidR="0062014D" w:rsidRDefault="00987A1F" w:rsidP="00987A1F">
            <w:pPr>
              <w:jc w:val="center"/>
              <w:rPr>
                <w:rFonts w:ascii="Arial" w:hAnsi="Arial" w:cs="Arial"/>
                <w:b/>
                <w:sz w:val="18"/>
                <w:szCs w:val="20"/>
                <w:lang w:eastAsia="ja-JP"/>
              </w:rPr>
            </w:pPr>
            <w:r>
              <w:rPr>
                <w:rFonts w:ascii="Arial" w:hAnsi="Arial" w:cs="Arial"/>
                <w:b/>
                <w:sz w:val="18"/>
                <w:szCs w:val="20"/>
                <w:lang w:eastAsia="ja-JP"/>
              </w:rPr>
              <w:t>0.57</w:t>
            </w:r>
          </w:p>
        </w:tc>
      </w:tr>
    </w:tbl>
    <w:p w14:paraId="52DE222D" w14:textId="3E9504AD" w:rsidR="0062014D" w:rsidRPr="00133CA6" w:rsidRDefault="0062014D" w:rsidP="0062014D">
      <w:pPr>
        <w:pStyle w:val="Caption"/>
        <w:jc w:val="center"/>
        <w:rPr>
          <w:rFonts w:ascii="Arial" w:hAnsi="Arial" w:cs="Arial"/>
          <w:sz w:val="20"/>
        </w:rPr>
      </w:pPr>
      <w:bookmarkStart w:id="28" w:name="_Ref16755005"/>
      <w:r w:rsidRPr="00133CA6">
        <w:rPr>
          <w:rFonts w:ascii="Arial" w:hAnsi="Arial" w:cs="Arial"/>
          <w:sz w:val="20"/>
        </w:rPr>
        <w:t xml:space="preserve">Table </w:t>
      </w:r>
      <w:r w:rsidRPr="00133CA6">
        <w:rPr>
          <w:rFonts w:ascii="Arial" w:hAnsi="Arial" w:cs="Arial"/>
          <w:sz w:val="20"/>
        </w:rPr>
        <w:fldChar w:fldCharType="begin"/>
      </w:r>
      <w:r w:rsidRPr="00133CA6">
        <w:rPr>
          <w:rFonts w:ascii="Arial" w:hAnsi="Arial" w:cs="Arial"/>
          <w:sz w:val="20"/>
        </w:rPr>
        <w:instrText xml:space="preserve"> SEQ Table \* ARABIC </w:instrText>
      </w:r>
      <w:r w:rsidRPr="00133CA6">
        <w:rPr>
          <w:rFonts w:ascii="Arial" w:hAnsi="Arial" w:cs="Arial"/>
          <w:sz w:val="20"/>
        </w:rPr>
        <w:fldChar w:fldCharType="separate"/>
      </w:r>
      <w:r w:rsidR="00A34377">
        <w:rPr>
          <w:rFonts w:ascii="Arial" w:hAnsi="Arial" w:cs="Arial"/>
          <w:noProof/>
          <w:sz w:val="20"/>
        </w:rPr>
        <w:t>3</w:t>
      </w:r>
      <w:r w:rsidRPr="00133CA6">
        <w:rPr>
          <w:rFonts w:ascii="Arial" w:hAnsi="Arial" w:cs="Arial"/>
          <w:noProof/>
          <w:sz w:val="20"/>
        </w:rPr>
        <w:fldChar w:fldCharType="end"/>
      </w:r>
      <w:bookmarkEnd w:id="28"/>
      <w:r w:rsidRPr="00133CA6">
        <w:rPr>
          <w:rFonts w:ascii="Arial" w:hAnsi="Arial" w:cs="Arial"/>
          <w:sz w:val="20"/>
        </w:rPr>
        <w:t>: LEO link budget calculation</w:t>
      </w:r>
      <w:r>
        <w:rPr>
          <w:rFonts w:ascii="Arial" w:hAnsi="Arial" w:cs="Arial"/>
          <w:sz w:val="20"/>
        </w:rPr>
        <w:t xml:space="preserve"> for 90 degree elevation angle</w:t>
      </w:r>
      <w:r w:rsidRPr="00133CA6">
        <w:rPr>
          <w:rFonts w:ascii="Arial" w:hAnsi="Arial" w:cs="Arial"/>
          <w:sz w:val="20"/>
        </w:rPr>
        <w:t>: Set-1 satellite parameters</w:t>
      </w:r>
      <w:r>
        <w:rPr>
          <w:rFonts w:ascii="Arial" w:hAnsi="Arial" w:cs="Arial"/>
          <w:sz w:val="20"/>
        </w:rPr>
        <w:t>, S band, 600 km height.</w:t>
      </w:r>
    </w:p>
    <w:p w14:paraId="54718CD5" w14:textId="6741C0F3" w:rsidR="0062014D" w:rsidRPr="00987A1F" w:rsidRDefault="00987A1F" w:rsidP="00EB66AE">
      <w:pPr>
        <w:pStyle w:val="Observation"/>
        <w:overflowPunct w:val="0"/>
        <w:autoSpaceDE w:val="0"/>
        <w:autoSpaceDN w:val="0"/>
        <w:adjustRightInd w:val="0"/>
        <w:spacing w:line="240" w:lineRule="auto"/>
        <w:textAlignment w:val="baseline"/>
        <w:rPr>
          <w:sz w:val="20"/>
          <w:szCs w:val="20"/>
        </w:rPr>
      </w:pPr>
      <w:bookmarkStart w:id="29" w:name="_Toc16839622"/>
      <w:r w:rsidRPr="00121032">
        <w:rPr>
          <w:sz w:val="20"/>
          <w:szCs w:val="20"/>
        </w:rPr>
        <w:t xml:space="preserve">In </w:t>
      </w:r>
      <w:r>
        <w:rPr>
          <w:sz w:val="20"/>
          <w:szCs w:val="20"/>
        </w:rPr>
        <w:t>an NTN system with 1 frequency reuse and high load, the operating DL CINR can be limited by interference.</w:t>
      </w:r>
      <w:bookmarkEnd w:id="29"/>
    </w:p>
    <w:p w14:paraId="30E7C8BE" w14:textId="5D0FFDB1" w:rsidR="0004603E" w:rsidRPr="00121032" w:rsidRDefault="0000023C" w:rsidP="0000023C">
      <w:pPr>
        <w:pStyle w:val="Proposal"/>
        <w:rPr>
          <w:sz w:val="20"/>
          <w:szCs w:val="20"/>
        </w:rPr>
      </w:pPr>
      <w:bookmarkStart w:id="30" w:name="_Toc16839636"/>
      <w:r w:rsidRPr="00121032">
        <w:rPr>
          <w:sz w:val="20"/>
          <w:szCs w:val="20"/>
        </w:rPr>
        <w:t xml:space="preserve">RAN1 to continue link budget analysis by evaluating CIR </w:t>
      </w:r>
      <w:r w:rsidR="004E7D4B" w:rsidRPr="00121032">
        <w:rPr>
          <w:sz w:val="20"/>
          <w:szCs w:val="20"/>
        </w:rPr>
        <w:t>from system-level simulation to calculate CINR.</w:t>
      </w:r>
      <w:bookmarkEnd w:id="30"/>
    </w:p>
    <w:p w14:paraId="7A108E8E" w14:textId="797FBD7F" w:rsidR="006F3E16" w:rsidRDefault="006F3E16" w:rsidP="006F3E16">
      <w:pPr>
        <w:pStyle w:val="Heading1"/>
        <w:numPr>
          <w:ilvl w:val="0"/>
          <w:numId w:val="15"/>
        </w:numPr>
      </w:pPr>
      <w:bookmarkStart w:id="31" w:name="_Ref16838972"/>
      <w:r>
        <w:t>System</w:t>
      </w:r>
      <w:r w:rsidR="002D7E85">
        <w:t xml:space="preserve"> simulation</w:t>
      </w:r>
      <w:r>
        <w:t xml:space="preserve"> calibration</w:t>
      </w:r>
      <w:bookmarkEnd w:id="31"/>
    </w:p>
    <w:p w14:paraId="12BE7A8D" w14:textId="10472986" w:rsidR="002A61D6" w:rsidRPr="00F22649" w:rsidRDefault="0036416F" w:rsidP="0036416F">
      <w:pPr>
        <w:jc w:val="both"/>
        <w:rPr>
          <w:rFonts w:ascii="Arial" w:hAnsi="Arial" w:cs="Arial"/>
          <w:sz w:val="20"/>
          <w:szCs w:val="20"/>
          <w:lang w:eastAsia="ja-JP"/>
        </w:rPr>
      </w:pPr>
      <w:r w:rsidRPr="00F22649">
        <w:rPr>
          <w:rFonts w:ascii="Arial" w:hAnsi="Arial" w:cs="Arial"/>
          <w:sz w:val="20"/>
          <w:szCs w:val="20"/>
          <w:lang w:eastAsia="ja-JP"/>
        </w:rPr>
        <w:t xml:space="preserve">It is not possible to have </w:t>
      </w:r>
      <w:r w:rsidR="002441E3">
        <w:rPr>
          <w:rFonts w:ascii="Arial" w:hAnsi="Arial" w:cs="Arial"/>
          <w:sz w:val="20"/>
          <w:szCs w:val="20"/>
          <w:lang w:eastAsia="ja-JP"/>
        </w:rPr>
        <w:t xml:space="preserve">a </w:t>
      </w:r>
      <w:r w:rsidRPr="00F22649">
        <w:rPr>
          <w:rFonts w:ascii="Arial" w:hAnsi="Arial" w:cs="Arial"/>
          <w:sz w:val="20"/>
          <w:szCs w:val="20"/>
          <w:lang w:eastAsia="ja-JP"/>
        </w:rPr>
        <w:t xml:space="preserve">meaningful calibration campaign, given that there are unresolved issues as detailed in Section 2. We suggest that RAN1 should promptly resolve the remaining key issues to move forward in this area. </w:t>
      </w:r>
    </w:p>
    <w:p w14:paraId="25FF1648" w14:textId="3D05A1B3" w:rsidR="00BA4A1E" w:rsidRPr="00F22649" w:rsidRDefault="00BA4A1E" w:rsidP="0036416F">
      <w:pPr>
        <w:jc w:val="both"/>
        <w:rPr>
          <w:rFonts w:ascii="Arial" w:hAnsi="Arial" w:cs="Arial"/>
          <w:sz w:val="20"/>
          <w:szCs w:val="20"/>
          <w:lang w:eastAsia="ja-JP"/>
        </w:rPr>
      </w:pPr>
      <w:r w:rsidRPr="001A0440">
        <w:rPr>
          <w:rFonts w:ascii="Arial" w:hAnsi="Arial" w:cs="Arial"/>
          <w:sz w:val="20"/>
          <w:szCs w:val="20"/>
          <w:lang w:eastAsia="ja-JP"/>
        </w:rPr>
        <w:t xml:space="preserve">Based on our proposals made in Section 2, we have conducted </w:t>
      </w:r>
      <w:r w:rsidR="006026C6">
        <w:rPr>
          <w:rFonts w:ascii="Arial" w:hAnsi="Arial" w:cs="Arial"/>
          <w:sz w:val="20"/>
          <w:szCs w:val="20"/>
          <w:lang w:eastAsia="ja-JP"/>
        </w:rPr>
        <w:t xml:space="preserve">an </w:t>
      </w:r>
      <w:r w:rsidRPr="00F22649">
        <w:rPr>
          <w:rFonts w:ascii="Arial" w:hAnsi="Arial" w:cs="Arial"/>
          <w:sz w:val="20"/>
          <w:szCs w:val="20"/>
          <w:lang w:eastAsia="ja-JP"/>
        </w:rPr>
        <w:t>initial evaluation of path gain and SIR</w:t>
      </w:r>
      <w:r w:rsidR="00021CD6" w:rsidRPr="00F22649">
        <w:rPr>
          <w:rFonts w:ascii="Arial" w:hAnsi="Arial" w:cs="Arial"/>
          <w:sz w:val="20"/>
          <w:szCs w:val="20"/>
          <w:lang w:eastAsia="ja-JP"/>
        </w:rPr>
        <w:t xml:space="preserve"> in an NTN scenario</w:t>
      </w:r>
      <w:r w:rsidRPr="00F22649">
        <w:rPr>
          <w:rFonts w:ascii="Arial" w:hAnsi="Arial" w:cs="Arial"/>
          <w:sz w:val="20"/>
          <w:szCs w:val="20"/>
          <w:lang w:eastAsia="ja-JP"/>
        </w:rPr>
        <w:t xml:space="preserve">, as plotted in </w:t>
      </w:r>
      <w:r w:rsidRPr="00021CD6">
        <w:rPr>
          <w:rFonts w:ascii="Arial" w:hAnsi="Arial" w:cs="Arial"/>
          <w:sz w:val="20"/>
          <w:szCs w:val="20"/>
          <w:lang w:eastAsia="ja-JP"/>
        </w:rPr>
        <w:fldChar w:fldCharType="begin"/>
      </w:r>
      <w:r w:rsidRPr="008F4B54">
        <w:rPr>
          <w:rFonts w:ascii="Arial" w:hAnsi="Arial" w:cs="Arial"/>
          <w:sz w:val="20"/>
          <w:szCs w:val="20"/>
          <w:lang w:eastAsia="ja-JP"/>
        </w:rPr>
        <w:instrText xml:space="preserve"> REF _Ref16686255 \h  \* MERGEFORMAT </w:instrText>
      </w:r>
      <w:r w:rsidRPr="00021CD6">
        <w:rPr>
          <w:rFonts w:ascii="Arial" w:hAnsi="Arial" w:cs="Arial"/>
          <w:sz w:val="20"/>
          <w:szCs w:val="20"/>
          <w:lang w:eastAsia="ja-JP"/>
        </w:rPr>
      </w:r>
      <w:r w:rsidRPr="00021CD6">
        <w:rPr>
          <w:rFonts w:ascii="Arial" w:hAnsi="Arial" w:cs="Arial"/>
          <w:sz w:val="20"/>
          <w:szCs w:val="20"/>
          <w:lang w:eastAsia="ja-JP"/>
        </w:rPr>
        <w:fldChar w:fldCharType="separate"/>
      </w:r>
      <w:r w:rsidR="00A34377" w:rsidRPr="00A34377">
        <w:rPr>
          <w:rFonts w:ascii="Arial" w:hAnsi="Arial" w:cs="Arial"/>
          <w:sz w:val="20"/>
          <w:szCs w:val="20"/>
        </w:rPr>
        <w:t xml:space="preserve">Figure </w:t>
      </w:r>
      <w:r w:rsidR="00A34377" w:rsidRPr="00A34377">
        <w:rPr>
          <w:rFonts w:ascii="Arial" w:hAnsi="Arial" w:cs="Arial"/>
          <w:noProof/>
          <w:sz w:val="20"/>
          <w:szCs w:val="20"/>
        </w:rPr>
        <w:t>3</w:t>
      </w:r>
      <w:r w:rsidRPr="00021CD6">
        <w:rPr>
          <w:rFonts w:ascii="Arial" w:hAnsi="Arial" w:cs="Arial"/>
          <w:sz w:val="20"/>
          <w:szCs w:val="20"/>
          <w:lang w:eastAsia="ja-JP"/>
        </w:rPr>
        <w:fldChar w:fldCharType="end"/>
      </w:r>
      <w:r w:rsidRPr="00F22649">
        <w:rPr>
          <w:rFonts w:ascii="Arial" w:hAnsi="Arial" w:cs="Arial"/>
          <w:sz w:val="20"/>
          <w:szCs w:val="20"/>
          <w:lang w:eastAsia="ja-JP"/>
        </w:rPr>
        <w:t>. Several remarks are in order.</w:t>
      </w:r>
    </w:p>
    <w:p w14:paraId="6E437F7A" w14:textId="56C047FA" w:rsidR="00BA4A1E" w:rsidRDefault="00021CD6" w:rsidP="00EA45E5">
      <w:pPr>
        <w:pStyle w:val="ListParagraph"/>
        <w:numPr>
          <w:ilvl w:val="0"/>
          <w:numId w:val="29"/>
        </w:numPr>
        <w:jc w:val="both"/>
        <w:rPr>
          <w:rFonts w:ascii="Arial" w:hAnsi="Arial" w:cs="Arial"/>
          <w:sz w:val="20"/>
          <w:szCs w:val="20"/>
          <w:lang w:eastAsia="ja-JP"/>
        </w:rPr>
      </w:pPr>
      <w:r>
        <w:rPr>
          <w:rFonts w:ascii="Arial" w:hAnsi="Arial" w:cs="Arial"/>
          <w:sz w:val="20"/>
          <w:szCs w:val="20"/>
          <w:lang w:val="en-US" w:eastAsia="ja-JP"/>
        </w:rPr>
        <w:t xml:space="preserve">Generating </w:t>
      </w:r>
      <w:r w:rsidR="008F4B54">
        <w:rPr>
          <w:rFonts w:ascii="Arial" w:hAnsi="Arial" w:cs="Arial"/>
          <w:sz w:val="20"/>
          <w:szCs w:val="20"/>
          <w:lang w:val="en-US" w:eastAsia="ja-JP"/>
        </w:rPr>
        <w:t>61</w:t>
      </w:r>
      <w:r>
        <w:rPr>
          <w:rFonts w:ascii="Arial" w:hAnsi="Arial" w:cs="Arial"/>
          <w:sz w:val="20"/>
          <w:szCs w:val="20"/>
          <w:lang w:val="en-US" w:eastAsia="ja-JP"/>
        </w:rPr>
        <w:t xml:space="preserve"> beams and using statistics from the inner 19 beams yields reasonable path gain and geometry statistics for NTN system level calibration and simulation. Thus, it </w:t>
      </w:r>
      <w:r w:rsidRPr="00EB66AE">
        <w:rPr>
          <w:rFonts w:ascii="Arial" w:hAnsi="Arial" w:cs="Arial"/>
          <w:sz w:val="20"/>
          <w:szCs w:val="20"/>
          <w:lang w:eastAsia="ja-JP"/>
        </w:rPr>
        <w:t>is a good alternative to finding a new w</w:t>
      </w:r>
      <w:r w:rsidR="00A34377">
        <w:rPr>
          <w:rFonts w:ascii="Arial" w:hAnsi="Arial" w:cs="Arial"/>
          <w:sz w:val="20"/>
          <w:szCs w:val="20"/>
          <w:lang w:val="en-US" w:eastAsia="ja-JP"/>
        </w:rPr>
        <w:t>rap</w:t>
      </w:r>
      <w:r w:rsidRPr="00EB66AE">
        <w:rPr>
          <w:rFonts w:ascii="Arial" w:hAnsi="Arial" w:cs="Arial"/>
          <w:sz w:val="20"/>
          <w:szCs w:val="20"/>
          <w:lang w:eastAsia="ja-JP"/>
        </w:rPr>
        <w:t>-around methodology for NTN with UV plane methodology.</w:t>
      </w:r>
    </w:p>
    <w:p w14:paraId="5C7FB27B" w14:textId="14FDB42D" w:rsidR="00BA4A1E" w:rsidRPr="00EB66AE" w:rsidRDefault="00021CD6" w:rsidP="00EB66AE">
      <w:pPr>
        <w:pStyle w:val="ListParagraph"/>
        <w:numPr>
          <w:ilvl w:val="0"/>
          <w:numId w:val="29"/>
        </w:numPr>
        <w:jc w:val="both"/>
        <w:rPr>
          <w:rFonts w:ascii="Arial" w:hAnsi="Arial" w:cs="Arial"/>
          <w:sz w:val="20"/>
          <w:szCs w:val="20"/>
          <w:lang w:eastAsia="ja-JP"/>
        </w:rPr>
      </w:pPr>
      <w:r>
        <w:rPr>
          <w:rFonts w:ascii="Arial" w:hAnsi="Arial" w:cs="Arial"/>
          <w:sz w:val="20"/>
          <w:szCs w:val="20"/>
          <w:lang w:val="en-US" w:eastAsia="ja-JP"/>
        </w:rPr>
        <w:t xml:space="preserve">The simulation area is well defined by the union of the 19 inner Voronoi cells. This resolves the issue related to where to place </w:t>
      </w:r>
      <w:r w:rsidR="0017063A">
        <w:rPr>
          <w:rFonts w:ascii="Arial" w:hAnsi="Arial" w:cs="Arial"/>
          <w:sz w:val="20"/>
          <w:szCs w:val="20"/>
          <w:lang w:val="en-US" w:eastAsia="ja-JP"/>
        </w:rPr>
        <w:t xml:space="preserve">the </w:t>
      </w:r>
      <w:r>
        <w:rPr>
          <w:rFonts w:ascii="Arial" w:hAnsi="Arial" w:cs="Arial"/>
          <w:sz w:val="20"/>
          <w:szCs w:val="20"/>
          <w:lang w:val="en-US" w:eastAsia="ja-JP"/>
        </w:rPr>
        <w:t>UEs.</w:t>
      </w:r>
    </w:p>
    <w:p w14:paraId="5BCCE134" w14:textId="1CBEDA4E" w:rsidR="00BA4A1E" w:rsidRDefault="00BA4A1E" w:rsidP="00EA45E5">
      <w:pPr>
        <w:jc w:val="center"/>
        <w:rPr>
          <w:rFonts w:ascii="Arial" w:hAnsi="Arial" w:cs="Arial"/>
          <w:sz w:val="20"/>
          <w:szCs w:val="20"/>
          <w:lang w:eastAsia="ja-JP"/>
        </w:rPr>
      </w:pPr>
      <w:r>
        <w:rPr>
          <w:noProof/>
        </w:rPr>
        <w:drawing>
          <wp:inline distT="0" distB="0" distL="0" distR="0" wp14:anchorId="60C99D9A" wp14:editId="7EB9B99E">
            <wp:extent cx="6120765" cy="2153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153285"/>
                    </a:xfrm>
                    <a:prstGeom prst="rect">
                      <a:avLst/>
                    </a:prstGeom>
                  </pic:spPr>
                </pic:pic>
              </a:graphicData>
            </a:graphic>
          </wp:inline>
        </w:drawing>
      </w:r>
    </w:p>
    <w:p w14:paraId="6BC569B2" w14:textId="79AD8E7F" w:rsidR="00BA4A1E" w:rsidRPr="00EB66AE" w:rsidRDefault="00BA4A1E" w:rsidP="00EB66AE">
      <w:pPr>
        <w:jc w:val="center"/>
        <w:rPr>
          <w:rFonts w:ascii="Arial" w:hAnsi="Arial" w:cs="Arial"/>
          <w:b/>
          <w:sz w:val="18"/>
          <w:szCs w:val="20"/>
          <w:lang w:eastAsia="ja-JP"/>
        </w:rPr>
      </w:pPr>
      <w:bookmarkStart w:id="32" w:name="_Ref16686255"/>
      <w:r w:rsidRPr="00EB66AE">
        <w:rPr>
          <w:rFonts w:ascii="Arial" w:hAnsi="Arial" w:cs="Arial"/>
          <w:b/>
          <w:sz w:val="20"/>
        </w:rPr>
        <w:t xml:space="preserve">Figure </w:t>
      </w:r>
      <w:r w:rsidRPr="00EB66AE">
        <w:rPr>
          <w:rFonts w:ascii="Arial" w:hAnsi="Arial" w:cs="Arial"/>
          <w:b/>
          <w:sz w:val="20"/>
        </w:rPr>
        <w:fldChar w:fldCharType="begin"/>
      </w:r>
      <w:r w:rsidRPr="00EB66AE">
        <w:rPr>
          <w:rFonts w:ascii="Arial" w:hAnsi="Arial" w:cs="Arial"/>
          <w:b/>
          <w:sz w:val="20"/>
        </w:rPr>
        <w:instrText xml:space="preserve"> SEQ Figure \* ARABIC </w:instrText>
      </w:r>
      <w:r w:rsidRPr="00EB66AE">
        <w:rPr>
          <w:rFonts w:ascii="Arial" w:hAnsi="Arial" w:cs="Arial"/>
          <w:b/>
          <w:sz w:val="20"/>
        </w:rPr>
        <w:fldChar w:fldCharType="separate"/>
      </w:r>
      <w:r w:rsidR="00A34377">
        <w:rPr>
          <w:rFonts w:ascii="Arial" w:hAnsi="Arial" w:cs="Arial"/>
          <w:b/>
          <w:noProof/>
          <w:sz w:val="20"/>
        </w:rPr>
        <w:t>3</w:t>
      </w:r>
      <w:r w:rsidRPr="00EB66AE">
        <w:rPr>
          <w:rFonts w:ascii="Arial" w:hAnsi="Arial" w:cs="Arial"/>
          <w:b/>
          <w:sz w:val="20"/>
        </w:rPr>
        <w:fldChar w:fldCharType="end"/>
      </w:r>
      <w:bookmarkEnd w:id="32"/>
      <w:r w:rsidRPr="00EB66AE">
        <w:rPr>
          <w:rFonts w:ascii="Arial" w:hAnsi="Arial" w:cs="Arial"/>
          <w:b/>
          <w:sz w:val="20"/>
        </w:rPr>
        <w:t xml:space="preserve">: </w:t>
      </w:r>
      <w:proofErr w:type="spellStart"/>
      <w:r w:rsidRPr="00EB66AE">
        <w:rPr>
          <w:rFonts w:ascii="Arial" w:hAnsi="Arial" w:cs="Arial"/>
          <w:b/>
          <w:sz w:val="20"/>
        </w:rPr>
        <w:t>Pathgain</w:t>
      </w:r>
      <w:proofErr w:type="spellEnd"/>
      <w:r w:rsidRPr="00EB66AE">
        <w:rPr>
          <w:rFonts w:ascii="Arial" w:hAnsi="Arial" w:cs="Arial"/>
          <w:b/>
          <w:sz w:val="20"/>
        </w:rPr>
        <w:t xml:space="preserve"> and geometry maps</w:t>
      </w:r>
      <w:r w:rsidR="00021CD6" w:rsidRPr="00EB66AE">
        <w:rPr>
          <w:rFonts w:ascii="Arial" w:hAnsi="Arial" w:cs="Arial"/>
          <w:b/>
          <w:sz w:val="20"/>
        </w:rPr>
        <w:t xml:space="preserve">: 600 km LEO and </w:t>
      </w:r>
      <w:r w:rsidR="00EA45E5" w:rsidRPr="00EB66AE">
        <w:rPr>
          <w:rFonts w:ascii="Arial" w:hAnsi="Arial" w:cs="Arial"/>
          <w:b/>
          <w:sz w:val="20"/>
        </w:rPr>
        <w:t>central beam center is at nadir point.</w:t>
      </w:r>
    </w:p>
    <w:p w14:paraId="4D05435B" w14:textId="5D972933" w:rsidR="0036416F" w:rsidRPr="00F22649" w:rsidRDefault="0036416F" w:rsidP="0036416F">
      <w:pPr>
        <w:pStyle w:val="Observation"/>
        <w:overflowPunct w:val="0"/>
        <w:autoSpaceDE w:val="0"/>
        <w:autoSpaceDN w:val="0"/>
        <w:adjustRightInd w:val="0"/>
        <w:spacing w:line="240" w:lineRule="auto"/>
        <w:textAlignment w:val="baseline"/>
        <w:rPr>
          <w:sz w:val="20"/>
          <w:szCs w:val="20"/>
        </w:rPr>
      </w:pPr>
      <w:bookmarkStart w:id="33" w:name="_Toc16839623"/>
      <w:r w:rsidRPr="00F22649">
        <w:rPr>
          <w:sz w:val="20"/>
          <w:szCs w:val="20"/>
        </w:rPr>
        <w:t>To move forward in the system simulation calibration campaign, it is essential to resolve the remaining key issues on</w:t>
      </w:r>
      <w:r w:rsidR="00E95496" w:rsidRPr="00F22649">
        <w:rPr>
          <w:sz w:val="20"/>
          <w:szCs w:val="20"/>
        </w:rPr>
        <w:t xml:space="preserve"> per-beam vs. per-satellite parameters,</w:t>
      </w:r>
      <w:r w:rsidRPr="00F22649">
        <w:rPr>
          <w:sz w:val="20"/>
          <w:szCs w:val="20"/>
        </w:rPr>
        <w:t xml:space="preserve"> wr</w:t>
      </w:r>
      <w:r w:rsidR="00244A64">
        <w:rPr>
          <w:sz w:val="20"/>
          <w:szCs w:val="20"/>
        </w:rPr>
        <w:t>a</w:t>
      </w:r>
      <w:r w:rsidRPr="00F22649">
        <w:rPr>
          <w:sz w:val="20"/>
          <w:szCs w:val="20"/>
        </w:rPr>
        <w:t>p-around, channel models, and simulation area.</w:t>
      </w:r>
      <w:bookmarkEnd w:id="33"/>
    </w:p>
    <w:p w14:paraId="5300F849" w14:textId="18599418" w:rsidR="00C01F33" w:rsidRPr="00CE0424" w:rsidRDefault="00C01F33" w:rsidP="00CE0424">
      <w:pPr>
        <w:pStyle w:val="Heading1"/>
      </w:pPr>
      <w:r w:rsidRPr="00CE0424">
        <w:t>Conclusion</w:t>
      </w:r>
    </w:p>
    <w:p w14:paraId="5457A0DE" w14:textId="6D6B1923" w:rsidR="00EC6B83" w:rsidRPr="00B3738A" w:rsidRDefault="00F03DAF" w:rsidP="00D6223C">
      <w:pPr>
        <w:jc w:val="both"/>
        <w:rPr>
          <w:rFonts w:ascii="Arial" w:hAnsi="Arial" w:cs="Arial"/>
          <w:b/>
          <w:bCs/>
          <w:sz w:val="20"/>
          <w:szCs w:val="20"/>
        </w:rPr>
      </w:pPr>
      <w:r w:rsidRPr="00F22649">
        <w:rPr>
          <w:rFonts w:ascii="Arial" w:hAnsi="Arial" w:cs="Arial"/>
          <w:sz w:val="20"/>
          <w:szCs w:val="20"/>
        </w:rPr>
        <w:t>In the previous sections</w:t>
      </w:r>
      <w:r w:rsidR="00C836D8" w:rsidRPr="00F22649">
        <w:rPr>
          <w:rFonts w:ascii="Arial" w:hAnsi="Arial" w:cs="Arial"/>
          <w:sz w:val="20"/>
          <w:szCs w:val="20"/>
        </w:rPr>
        <w:t xml:space="preserve">, we </w:t>
      </w:r>
      <w:r w:rsidR="00D6223C" w:rsidRPr="00F22649">
        <w:rPr>
          <w:rFonts w:ascii="Arial" w:hAnsi="Arial" w:cs="Arial"/>
          <w:sz w:val="20"/>
          <w:szCs w:val="20"/>
        </w:rPr>
        <w:t>discuss NTN link level and system level evaluations</w:t>
      </w:r>
      <w:r w:rsidR="0053334B" w:rsidRPr="00F22649">
        <w:rPr>
          <w:rFonts w:ascii="Arial" w:hAnsi="Arial" w:cs="Arial"/>
          <w:sz w:val="20"/>
          <w:szCs w:val="20"/>
        </w:rPr>
        <w:t xml:space="preserve">. </w:t>
      </w:r>
      <w:r w:rsidR="00D6223C" w:rsidRPr="00B3738A">
        <w:rPr>
          <w:rFonts w:ascii="Arial" w:hAnsi="Arial" w:cs="Arial"/>
          <w:sz w:val="20"/>
          <w:szCs w:val="20"/>
        </w:rPr>
        <w:t>W</w:t>
      </w:r>
      <w:r w:rsidR="009F06A5" w:rsidRPr="00B3738A">
        <w:rPr>
          <w:rFonts w:ascii="Arial" w:hAnsi="Arial" w:cs="Arial"/>
          <w:sz w:val="20"/>
          <w:szCs w:val="20"/>
        </w:rPr>
        <w:t>e made the following observations:</w:t>
      </w:r>
      <w:r w:rsidR="009F06A5" w:rsidRPr="00B3738A">
        <w:rPr>
          <w:rFonts w:ascii="Arial" w:hAnsi="Arial" w:cs="Arial"/>
          <w:b/>
          <w:bCs/>
          <w:sz w:val="20"/>
          <w:szCs w:val="20"/>
        </w:rPr>
        <w:t xml:space="preserve"> </w:t>
      </w:r>
    </w:p>
    <w:p w14:paraId="52463BDE" w14:textId="77777777" w:rsidR="00A34377" w:rsidRDefault="009F06A5">
      <w:pPr>
        <w:pStyle w:val="TableofFigures"/>
        <w:tabs>
          <w:tab w:val="right" w:leader="dot" w:pos="9629"/>
        </w:tabs>
        <w:rPr>
          <w:rFonts w:asciiTheme="minorHAnsi" w:eastAsiaTheme="minorEastAsia" w:hAnsiTheme="minorHAnsi"/>
          <w:b w:val="0"/>
          <w:noProof/>
        </w:rPr>
      </w:pPr>
      <w:r w:rsidRPr="00B3738A">
        <w:rPr>
          <w:b w:val="0"/>
          <w:bCs/>
          <w:sz w:val="20"/>
          <w:szCs w:val="20"/>
        </w:rPr>
        <w:fldChar w:fldCharType="begin"/>
      </w:r>
      <w:r w:rsidRPr="00B3738A">
        <w:rPr>
          <w:b w:val="0"/>
          <w:bCs/>
          <w:sz w:val="20"/>
          <w:szCs w:val="20"/>
        </w:rPr>
        <w:instrText xml:space="preserve"> TOC \f O \n \h \z \t "Observation" \c </w:instrText>
      </w:r>
      <w:r w:rsidRPr="00B3738A">
        <w:rPr>
          <w:b w:val="0"/>
          <w:bCs/>
          <w:sz w:val="20"/>
          <w:szCs w:val="20"/>
        </w:rPr>
        <w:fldChar w:fldCharType="separate"/>
      </w:r>
      <w:hyperlink w:anchor="_Toc16839613" w:history="1">
        <w:r w:rsidR="00A34377" w:rsidRPr="00D60908">
          <w:rPr>
            <w:rStyle w:val="Hyperlink"/>
            <w:noProof/>
          </w:rPr>
          <w:t>Observation 1</w:t>
        </w:r>
        <w:r w:rsidR="00A34377">
          <w:rPr>
            <w:rFonts w:asciiTheme="minorHAnsi" w:eastAsiaTheme="minorEastAsia" w:hAnsiTheme="minorHAnsi"/>
            <w:b w:val="0"/>
            <w:noProof/>
          </w:rPr>
          <w:tab/>
        </w:r>
        <w:r w:rsidR="00A34377" w:rsidRPr="00D60908">
          <w:rPr>
            <w:rStyle w:val="Hyperlink"/>
            <w:noProof/>
          </w:rPr>
          <w:t>PN model heavily depends on the assumptions on the VCO and PLL performance and limitations for mm-wave frequencies. The assumptions can be quite different for different technologies.</w:t>
        </w:r>
      </w:hyperlink>
    </w:p>
    <w:p w14:paraId="6B738AF0" w14:textId="77777777" w:rsidR="00A34377" w:rsidRDefault="002660E1">
      <w:pPr>
        <w:pStyle w:val="TableofFigures"/>
        <w:tabs>
          <w:tab w:val="right" w:leader="dot" w:pos="9629"/>
        </w:tabs>
        <w:rPr>
          <w:rFonts w:asciiTheme="minorHAnsi" w:eastAsiaTheme="minorEastAsia" w:hAnsiTheme="minorHAnsi"/>
          <w:b w:val="0"/>
          <w:noProof/>
        </w:rPr>
      </w:pPr>
      <w:hyperlink w:anchor="_Toc16839614" w:history="1">
        <w:r w:rsidR="00A34377" w:rsidRPr="00D60908">
          <w:rPr>
            <w:rStyle w:val="Hyperlink"/>
            <w:noProof/>
          </w:rPr>
          <w:t>Observation 2</w:t>
        </w:r>
        <w:r w:rsidR="00A34377">
          <w:rPr>
            <w:rFonts w:asciiTheme="minorHAnsi" w:eastAsiaTheme="minorEastAsia" w:hAnsiTheme="minorHAnsi"/>
            <w:b w:val="0"/>
            <w:noProof/>
          </w:rPr>
          <w:tab/>
        </w:r>
        <w:r w:rsidR="00A34377" w:rsidRPr="00D60908">
          <w:rPr>
            <w:rStyle w:val="Hyperlink"/>
            <w:noProof/>
          </w:rPr>
          <w:t>Different wrap-around methods will give quite different statistics in terms of geometry [5], making it difficult (if not impossible) to calibrate system level simulators among companies and compare results from different sources.</w:t>
        </w:r>
      </w:hyperlink>
    </w:p>
    <w:p w14:paraId="4AA60A7B" w14:textId="77777777" w:rsidR="00A34377" w:rsidRDefault="002660E1">
      <w:pPr>
        <w:pStyle w:val="TableofFigures"/>
        <w:tabs>
          <w:tab w:val="right" w:leader="dot" w:pos="9629"/>
        </w:tabs>
        <w:rPr>
          <w:rFonts w:asciiTheme="minorHAnsi" w:eastAsiaTheme="minorEastAsia" w:hAnsiTheme="minorHAnsi"/>
          <w:b w:val="0"/>
          <w:noProof/>
        </w:rPr>
      </w:pPr>
      <w:hyperlink w:anchor="_Toc16839615" w:history="1">
        <w:r w:rsidR="00A34377" w:rsidRPr="00D60908">
          <w:rPr>
            <w:rStyle w:val="Hyperlink"/>
            <w:noProof/>
          </w:rPr>
          <w:t>Observation 3</w:t>
        </w:r>
        <w:r w:rsidR="00A34377">
          <w:rPr>
            <w:rFonts w:asciiTheme="minorHAnsi" w:eastAsiaTheme="minorEastAsia" w:hAnsiTheme="minorHAnsi"/>
            <w:b w:val="0"/>
            <w:noProof/>
          </w:rPr>
          <w:tab/>
        </w:r>
        <w:r w:rsidR="00A34377" w:rsidRPr="00D60908">
          <w:rPr>
            <w:rStyle w:val="Hyperlink"/>
            <w:noProof/>
          </w:rPr>
          <w:t xml:space="preserve">The NTN fast fading channel models in </w:t>
        </w:r>
        <w:r w:rsidR="00A34377" w:rsidRPr="00D60908">
          <w:rPr>
            <w:rStyle w:val="Hyperlink"/>
            <w:rFonts w:cs="Arial"/>
            <w:noProof/>
          </w:rPr>
          <w:t>TR 38.811 V15.1.0 may lead to non-positive definite correlation matrices for large scale parameters.</w:t>
        </w:r>
      </w:hyperlink>
    </w:p>
    <w:p w14:paraId="5EECDCBC" w14:textId="77777777" w:rsidR="00A34377" w:rsidRDefault="002660E1">
      <w:pPr>
        <w:pStyle w:val="TableofFigures"/>
        <w:tabs>
          <w:tab w:val="right" w:leader="dot" w:pos="9629"/>
        </w:tabs>
        <w:rPr>
          <w:rFonts w:asciiTheme="minorHAnsi" w:eastAsiaTheme="minorEastAsia" w:hAnsiTheme="minorHAnsi"/>
          <w:b w:val="0"/>
          <w:noProof/>
        </w:rPr>
      </w:pPr>
      <w:hyperlink w:anchor="_Toc16839616" w:history="1">
        <w:r w:rsidR="00A34377" w:rsidRPr="00D60908">
          <w:rPr>
            <w:rStyle w:val="Hyperlink"/>
            <w:noProof/>
          </w:rPr>
          <w:t>Observation 4</w:t>
        </w:r>
        <w:r w:rsidR="00A34377">
          <w:rPr>
            <w:rFonts w:asciiTheme="minorHAnsi" w:eastAsiaTheme="minorEastAsia" w:hAnsiTheme="minorHAnsi"/>
            <w:b w:val="0"/>
            <w:noProof/>
          </w:rPr>
          <w:tab/>
        </w:r>
        <w:r w:rsidR="00A34377" w:rsidRPr="00D60908">
          <w:rPr>
            <w:rStyle w:val="Hyperlink"/>
            <w:noProof/>
          </w:rPr>
          <w:t>In S-band GEO, uplink operating SNR is low (-5.8 dB) for handheld UE with 180 kHz transmission bandwidth. In Ka-band GEO, uplink operating SNR is acceptable (1.4 dB) for VSAT with 400 MHz transmission bandwidth.</w:t>
        </w:r>
      </w:hyperlink>
    </w:p>
    <w:p w14:paraId="3FDD0026" w14:textId="77777777" w:rsidR="00A34377" w:rsidRDefault="002660E1">
      <w:pPr>
        <w:pStyle w:val="TableofFigures"/>
        <w:tabs>
          <w:tab w:val="right" w:leader="dot" w:pos="9629"/>
        </w:tabs>
        <w:rPr>
          <w:rFonts w:asciiTheme="minorHAnsi" w:eastAsiaTheme="minorEastAsia" w:hAnsiTheme="minorHAnsi"/>
          <w:b w:val="0"/>
          <w:noProof/>
        </w:rPr>
      </w:pPr>
      <w:hyperlink w:anchor="_Toc16839617" w:history="1">
        <w:r w:rsidR="00A34377" w:rsidRPr="00D60908">
          <w:rPr>
            <w:rStyle w:val="Hyperlink"/>
            <w:noProof/>
          </w:rPr>
          <w:t>Observation 5</w:t>
        </w:r>
        <w:r w:rsidR="00A34377">
          <w:rPr>
            <w:rFonts w:asciiTheme="minorHAnsi" w:eastAsiaTheme="minorEastAsia" w:hAnsiTheme="minorHAnsi"/>
            <w:b w:val="0"/>
            <w:noProof/>
          </w:rPr>
          <w:tab/>
        </w:r>
        <w:r w:rsidR="00A34377" w:rsidRPr="00D60908">
          <w:rPr>
            <w:rStyle w:val="Hyperlink"/>
            <w:noProof/>
          </w:rPr>
          <w:t>In GEO, downlink operating SNR in Ka-band is 10.2 dB higher than its counterpart in S-band. This is mainly because that VSAT in Ka-band has a much higher G/T than handheld UE in S-band.</w:t>
        </w:r>
      </w:hyperlink>
    </w:p>
    <w:p w14:paraId="1C5B8235" w14:textId="77777777" w:rsidR="00A34377" w:rsidRDefault="002660E1">
      <w:pPr>
        <w:pStyle w:val="TableofFigures"/>
        <w:tabs>
          <w:tab w:val="right" w:leader="dot" w:pos="9629"/>
        </w:tabs>
        <w:rPr>
          <w:rFonts w:asciiTheme="minorHAnsi" w:eastAsiaTheme="minorEastAsia" w:hAnsiTheme="minorHAnsi"/>
          <w:b w:val="0"/>
          <w:noProof/>
        </w:rPr>
      </w:pPr>
      <w:hyperlink w:anchor="_Toc16839618" w:history="1">
        <w:r w:rsidR="00A34377" w:rsidRPr="00D60908">
          <w:rPr>
            <w:rStyle w:val="Hyperlink"/>
            <w:noProof/>
          </w:rPr>
          <w:t>Observation 6</w:t>
        </w:r>
        <w:r w:rsidR="00A34377">
          <w:rPr>
            <w:rFonts w:asciiTheme="minorHAnsi" w:eastAsiaTheme="minorEastAsia" w:hAnsiTheme="minorHAnsi"/>
            <w:b w:val="0"/>
            <w:noProof/>
          </w:rPr>
          <w:tab/>
        </w:r>
        <w:r w:rsidR="00A34377" w:rsidRPr="00D60908">
          <w:rPr>
            <w:rStyle w:val="Hyperlink"/>
            <w:noProof/>
          </w:rPr>
          <w:t>Each operating downlink SNR value in S-band LEO is close (within 1 dB) to its counterpart in Ka-band LEO.</w:t>
        </w:r>
      </w:hyperlink>
    </w:p>
    <w:p w14:paraId="7D9EDAE8" w14:textId="77777777" w:rsidR="00A34377" w:rsidRDefault="002660E1">
      <w:pPr>
        <w:pStyle w:val="TableofFigures"/>
        <w:tabs>
          <w:tab w:val="right" w:leader="dot" w:pos="9629"/>
        </w:tabs>
        <w:rPr>
          <w:rFonts w:asciiTheme="minorHAnsi" w:eastAsiaTheme="minorEastAsia" w:hAnsiTheme="minorHAnsi"/>
          <w:b w:val="0"/>
          <w:noProof/>
        </w:rPr>
      </w:pPr>
      <w:hyperlink w:anchor="_Toc16839619" w:history="1">
        <w:r w:rsidR="00A34377" w:rsidRPr="00D60908">
          <w:rPr>
            <w:rStyle w:val="Hyperlink"/>
            <w:noProof/>
          </w:rPr>
          <w:t>Observation 7</w:t>
        </w:r>
        <w:r w:rsidR="00A34377">
          <w:rPr>
            <w:rFonts w:asciiTheme="minorHAnsi" w:eastAsiaTheme="minorEastAsia" w:hAnsiTheme="minorHAnsi"/>
            <w:b w:val="0"/>
            <w:noProof/>
          </w:rPr>
          <w:tab/>
        </w:r>
        <w:r w:rsidR="00A34377" w:rsidRPr="00D60908">
          <w:rPr>
            <w:rStyle w:val="Hyperlink"/>
            <w:noProof/>
          </w:rPr>
          <w:t>Each operating uplink SNR value in S-band LEO is about 11 dB lower than its counterpart in Ka-band LEO.</w:t>
        </w:r>
      </w:hyperlink>
    </w:p>
    <w:p w14:paraId="5240E433" w14:textId="77777777" w:rsidR="00A34377" w:rsidRDefault="002660E1">
      <w:pPr>
        <w:pStyle w:val="TableofFigures"/>
        <w:tabs>
          <w:tab w:val="right" w:leader="dot" w:pos="9629"/>
        </w:tabs>
        <w:rPr>
          <w:rFonts w:asciiTheme="minorHAnsi" w:eastAsiaTheme="minorEastAsia" w:hAnsiTheme="minorHAnsi"/>
          <w:b w:val="0"/>
          <w:noProof/>
        </w:rPr>
      </w:pPr>
      <w:hyperlink w:anchor="_Toc16839620" w:history="1">
        <w:r w:rsidR="00A34377" w:rsidRPr="00D60908">
          <w:rPr>
            <w:rStyle w:val="Hyperlink"/>
            <w:noProof/>
          </w:rPr>
          <w:t>Observation 8</w:t>
        </w:r>
        <w:r w:rsidR="00A34377">
          <w:rPr>
            <w:rFonts w:asciiTheme="minorHAnsi" w:eastAsiaTheme="minorEastAsia" w:hAnsiTheme="minorHAnsi"/>
            <w:b w:val="0"/>
            <w:noProof/>
          </w:rPr>
          <w:tab/>
        </w:r>
        <w:r w:rsidR="00A34377" w:rsidRPr="00D60908">
          <w:rPr>
            <w:rStyle w:val="Hyperlink"/>
            <w:noProof/>
          </w:rPr>
          <w:t>In LEO, uplink operating SNR at 600 km is 5.4 dB higher than uplink operating SNR at 1200 km. The 5.4 dB difference purely comes from free space path loss difference in these two cases.</w:t>
        </w:r>
      </w:hyperlink>
    </w:p>
    <w:p w14:paraId="1E7F645A" w14:textId="77777777" w:rsidR="00A34377" w:rsidRDefault="002660E1">
      <w:pPr>
        <w:pStyle w:val="TableofFigures"/>
        <w:tabs>
          <w:tab w:val="right" w:leader="dot" w:pos="9629"/>
        </w:tabs>
        <w:rPr>
          <w:rFonts w:asciiTheme="minorHAnsi" w:eastAsiaTheme="minorEastAsia" w:hAnsiTheme="minorHAnsi"/>
          <w:b w:val="0"/>
          <w:noProof/>
        </w:rPr>
      </w:pPr>
      <w:hyperlink w:anchor="_Toc16839621" w:history="1">
        <w:r w:rsidR="00A34377" w:rsidRPr="00D60908">
          <w:rPr>
            <w:rStyle w:val="Hyperlink"/>
            <w:noProof/>
          </w:rPr>
          <w:t>Observation 9</w:t>
        </w:r>
        <w:r w:rsidR="00A34377">
          <w:rPr>
            <w:rFonts w:asciiTheme="minorHAnsi" w:eastAsiaTheme="minorEastAsia" w:hAnsiTheme="minorHAnsi"/>
            <w:b w:val="0"/>
            <w:noProof/>
          </w:rPr>
          <w:tab/>
        </w:r>
        <w:r w:rsidR="00A34377" w:rsidRPr="00D60908">
          <w:rPr>
            <w:rStyle w:val="Hyperlink"/>
            <w:noProof/>
          </w:rPr>
          <w:t>In LEO, the difference of downlink operating SNRs at 600 km and at 1200 km is within 1 dB. This is because the 6 dB higher transmit power at 1200 km compensates for the 5.4 dB higher path loss at 1200 km, resulting in an operating SNR value close to the counterpart at 600 km.</w:t>
        </w:r>
      </w:hyperlink>
    </w:p>
    <w:p w14:paraId="183992C9" w14:textId="77777777" w:rsidR="00A34377" w:rsidRDefault="002660E1">
      <w:pPr>
        <w:pStyle w:val="TableofFigures"/>
        <w:tabs>
          <w:tab w:val="right" w:leader="dot" w:pos="9629"/>
        </w:tabs>
        <w:rPr>
          <w:rFonts w:asciiTheme="minorHAnsi" w:eastAsiaTheme="minorEastAsia" w:hAnsiTheme="minorHAnsi"/>
          <w:b w:val="0"/>
          <w:noProof/>
        </w:rPr>
      </w:pPr>
      <w:hyperlink w:anchor="_Toc16839622" w:history="1">
        <w:r w:rsidR="00A34377" w:rsidRPr="00D60908">
          <w:rPr>
            <w:rStyle w:val="Hyperlink"/>
            <w:noProof/>
          </w:rPr>
          <w:t>Observation 10</w:t>
        </w:r>
        <w:r w:rsidR="00A34377">
          <w:rPr>
            <w:rFonts w:asciiTheme="minorHAnsi" w:eastAsiaTheme="minorEastAsia" w:hAnsiTheme="minorHAnsi"/>
            <w:b w:val="0"/>
            <w:noProof/>
          </w:rPr>
          <w:tab/>
        </w:r>
        <w:r w:rsidR="00A34377" w:rsidRPr="00D60908">
          <w:rPr>
            <w:rStyle w:val="Hyperlink"/>
            <w:noProof/>
          </w:rPr>
          <w:t>In an NTN system with 1 frequency reuse and high load, the operating DL CINR can be limited by interference.</w:t>
        </w:r>
      </w:hyperlink>
    </w:p>
    <w:p w14:paraId="73C0E46F" w14:textId="77777777" w:rsidR="00A34377" w:rsidRDefault="002660E1">
      <w:pPr>
        <w:pStyle w:val="TableofFigures"/>
        <w:tabs>
          <w:tab w:val="right" w:leader="dot" w:pos="9629"/>
        </w:tabs>
        <w:rPr>
          <w:rFonts w:asciiTheme="minorHAnsi" w:eastAsiaTheme="minorEastAsia" w:hAnsiTheme="minorHAnsi"/>
          <w:b w:val="0"/>
          <w:noProof/>
        </w:rPr>
      </w:pPr>
      <w:hyperlink w:anchor="_Toc16839623" w:history="1">
        <w:r w:rsidR="00A34377" w:rsidRPr="00D60908">
          <w:rPr>
            <w:rStyle w:val="Hyperlink"/>
            <w:noProof/>
          </w:rPr>
          <w:t>Observation 11</w:t>
        </w:r>
        <w:r w:rsidR="00A34377">
          <w:rPr>
            <w:rFonts w:asciiTheme="minorHAnsi" w:eastAsiaTheme="minorEastAsia" w:hAnsiTheme="minorHAnsi"/>
            <w:b w:val="0"/>
            <w:noProof/>
          </w:rPr>
          <w:tab/>
        </w:r>
        <w:r w:rsidR="00A34377" w:rsidRPr="00D60908">
          <w:rPr>
            <w:rStyle w:val="Hyperlink"/>
            <w:noProof/>
          </w:rPr>
          <w:t>To move forward in the system simulation calibration campaign, it is essential to resolve the remaining key issues on per-beam vs. per-satellite parameters, wrap-around, channel models, and simulation area.</w:t>
        </w:r>
      </w:hyperlink>
    </w:p>
    <w:p w14:paraId="3FD31450" w14:textId="1DFB71B7" w:rsidR="009F06A5" w:rsidRPr="00B3738A" w:rsidRDefault="009F06A5" w:rsidP="009F06A5">
      <w:pPr>
        <w:pStyle w:val="BodyText"/>
        <w:rPr>
          <w:sz w:val="20"/>
          <w:szCs w:val="20"/>
        </w:rPr>
      </w:pPr>
      <w:r w:rsidRPr="00B3738A">
        <w:rPr>
          <w:b/>
          <w:bCs/>
          <w:sz w:val="20"/>
          <w:szCs w:val="20"/>
        </w:rPr>
        <w:fldChar w:fldCharType="end"/>
      </w:r>
    </w:p>
    <w:p w14:paraId="1FBF2552" w14:textId="77777777" w:rsidR="009F06A5" w:rsidRPr="00F22649" w:rsidRDefault="009F06A5" w:rsidP="009F06A5">
      <w:pPr>
        <w:pStyle w:val="BodyText"/>
        <w:rPr>
          <w:sz w:val="20"/>
          <w:szCs w:val="20"/>
        </w:rPr>
      </w:pPr>
      <w:r w:rsidRPr="00F22649">
        <w:rPr>
          <w:sz w:val="20"/>
          <w:szCs w:val="20"/>
        </w:rPr>
        <w:t>Based on the discussion in the previous sections we propose the following:</w:t>
      </w:r>
    </w:p>
    <w:p w14:paraId="16E4404C" w14:textId="77777777" w:rsidR="00A34377" w:rsidRDefault="009F06A5">
      <w:pPr>
        <w:pStyle w:val="TableofFigures"/>
        <w:tabs>
          <w:tab w:val="right" w:leader="dot" w:pos="9629"/>
        </w:tabs>
        <w:rPr>
          <w:rFonts w:asciiTheme="minorHAnsi" w:eastAsiaTheme="minorEastAsia" w:hAnsiTheme="minorHAnsi"/>
          <w:b w:val="0"/>
          <w:noProof/>
        </w:rPr>
      </w:pPr>
      <w:r w:rsidRPr="00B3738A">
        <w:rPr>
          <w:b w:val="0"/>
          <w:bCs/>
          <w:sz w:val="20"/>
          <w:szCs w:val="20"/>
          <w:lang w:eastAsia="zh-CN"/>
        </w:rPr>
        <w:fldChar w:fldCharType="begin"/>
      </w:r>
      <w:r w:rsidRPr="00B3738A">
        <w:rPr>
          <w:b w:val="0"/>
          <w:bCs/>
          <w:sz w:val="20"/>
          <w:szCs w:val="20"/>
        </w:rPr>
        <w:instrText xml:space="preserve"> TOC \n \h \z \t "Proposal" \c </w:instrText>
      </w:r>
      <w:r w:rsidRPr="00B3738A">
        <w:rPr>
          <w:b w:val="0"/>
          <w:bCs/>
          <w:sz w:val="20"/>
          <w:szCs w:val="20"/>
          <w:lang w:eastAsia="zh-CN"/>
        </w:rPr>
        <w:fldChar w:fldCharType="separate"/>
      </w:r>
      <w:hyperlink w:anchor="_Toc16839624" w:history="1">
        <w:r w:rsidR="00A34377" w:rsidRPr="007A2F78">
          <w:rPr>
            <w:rStyle w:val="Hyperlink"/>
            <w:noProof/>
          </w:rPr>
          <w:t>Proposal 1</w:t>
        </w:r>
        <w:r w:rsidR="00A34377">
          <w:rPr>
            <w:rFonts w:asciiTheme="minorHAnsi" w:eastAsiaTheme="minorEastAsia" w:hAnsiTheme="minorHAnsi"/>
            <w:b w:val="0"/>
            <w:noProof/>
          </w:rPr>
          <w:tab/>
        </w:r>
        <w:r w:rsidR="00A34377" w:rsidRPr="007A2F78">
          <w:rPr>
            <w:rStyle w:val="Hyperlink"/>
            <w:noProof/>
          </w:rPr>
          <w:t>RAN1 to prioritize LEO bent-pipe/transparent architecture and consider regenerative architecture as second priority in Release-16 NTN evaluation.</w:t>
        </w:r>
      </w:hyperlink>
    </w:p>
    <w:p w14:paraId="4D835F2D" w14:textId="77777777" w:rsidR="00A34377" w:rsidRDefault="002660E1">
      <w:pPr>
        <w:pStyle w:val="TableofFigures"/>
        <w:tabs>
          <w:tab w:val="right" w:leader="dot" w:pos="9629"/>
        </w:tabs>
        <w:rPr>
          <w:rFonts w:asciiTheme="minorHAnsi" w:eastAsiaTheme="minorEastAsia" w:hAnsiTheme="minorHAnsi"/>
          <w:b w:val="0"/>
          <w:noProof/>
        </w:rPr>
      </w:pPr>
      <w:hyperlink w:anchor="_Toc16839625" w:history="1">
        <w:r w:rsidR="00A34377" w:rsidRPr="007A2F78">
          <w:rPr>
            <w:rStyle w:val="Hyperlink"/>
            <w:noProof/>
          </w:rPr>
          <w:t>Proposal 2</w:t>
        </w:r>
        <w:r w:rsidR="00A34377">
          <w:rPr>
            <w:rFonts w:asciiTheme="minorHAnsi" w:eastAsiaTheme="minorEastAsia" w:hAnsiTheme="minorHAnsi"/>
            <w:b w:val="0"/>
            <w:noProof/>
          </w:rPr>
          <w:tab/>
        </w:r>
        <w:r w:rsidR="00A34377" w:rsidRPr="007A2F78">
          <w:rPr>
            <w:rStyle w:val="Hyperlink"/>
            <w:noProof/>
          </w:rPr>
          <w:t>RAN1 to prioritize the use cases of eMBB, fixed wireless and backhauling in Rel-16 NTN.</w:t>
        </w:r>
      </w:hyperlink>
    </w:p>
    <w:p w14:paraId="43E72AB2" w14:textId="77777777" w:rsidR="00A34377" w:rsidRDefault="002660E1">
      <w:pPr>
        <w:pStyle w:val="TableofFigures"/>
        <w:tabs>
          <w:tab w:val="right" w:leader="dot" w:pos="9629"/>
        </w:tabs>
        <w:rPr>
          <w:rFonts w:asciiTheme="minorHAnsi" w:eastAsiaTheme="minorEastAsia" w:hAnsiTheme="minorHAnsi"/>
          <w:b w:val="0"/>
          <w:noProof/>
        </w:rPr>
      </w:pPr>
      <w:hyperlink w:anchor="_Toc16839626" w:history="1">
        <w:r w:rsidR="00A34377" w:rsidRPr="007A2F78">
          <w:rPr>
            <w:rStyle w:val="Hyperlink"/>
            <w:noProof/>
          </w:rPr>
          <w:t>Proposal 3</w:t>
        </w:r>
        <w:r w:rsidR="00A34377">
          <w:rPr>
            <w:rFonts w:asciiTheme="minorHAnsi" w:eastAsiaTheme="minorEastAsia" w:hAnsiTheme="minorHAnsi"/>
            <w:b w:val="0"/>
            <w:noProof/>
          </w:rPr>
          <w:tab/>
        </w:r>
        <w:r w:rsidR="00A34377" w:rsidRPr="007A2F78">
          <w:rPr>
            <w:rStyle w:val="Hyperlink"/>
            <w:noProof/>
          </w:rPr>
          <w:t>The example phase noise models in TR 38.803 are used as baseline models for NTN studies of the Ka band. In the S-band PN modelling is optional.</w:t>
        </w:r>
      </w:hyperlink>
    </w:p>
    <w:p w14:paraId="165DD757" w14:textId="77777777" w:rsidR="00A34377" w:rsidRDefault="002660E1">
      <w:pPr>
        <w:pStyle w:val="TableofFigures"/>
        <w:tabs>
          <w:tab w:val="right" w:leader="dot" w:pos="9629"/>
        </w:tabs>
        <w:rPr>
          <w:rFonts w:asciiTheme="minorHAnsi" w:eastAsiaTheme="minorEastAsia" w:hAnsiTheme="minorHAnsi"/>
          <w:b w:val="0"/>
          <w:noProof/>
        </w:rPr>
      </w:pPr>
      <w:hyperlink w:anchor="_Toc16839627" w:history="1">
        <w:r w:rsidR="00A34377" w:rsidRPr="007A2F78">
          <w:rPr>
            <w:rStyle w:val="Hyperlink"/>
            <w:noProof/>
          </w:rPr>
          <w:t>Proposal 4</w:t>
        </w:r>
        <w:r w:rsidR="00A34377">
          <w:rPr>
            <w:rFonts w:asciiTheme="minorHAnsi" w:eastAsiaTheme="minorEastAsia" w:hAnsiTheme="minorHAnsi"/>
            <w:b w:val="0"/>
            <w:noProof/>
          </w:rPr>
          <w:tab/>
        </w:r>
        <w:r w:rsidR="00A34377" w:rsidRPr="007A2F78">
          <w:rPr>
            <w:rStyle w:val="Hyperlink"/>
            <w:noProof/>
          </w:rPr>
          <w:t>RAN1 to discuss and agree on the numbers of transmit and receive beams simultaneously generated per satellite.</w:t>
        </w:r>
      </w:hyperlink>
    </w:p>
    <w:p w14:paraId="291AF4EE" w14:textId="77777777" w:rsidR="00A34377" w:rsidRDefault="002660E1">
      <w:pPr>
        <w:pStyle w:val="TableofFigures"/>
        <w:tabs>
          <w:tab w:val="right" w:leader="dot" w:pos="9629"/>
        </w:tabs>
        <w:rPr>
          <w:rFonts w:asciiTheme="minorHAnsi" w:eastAsiaTheme="minorEastAsia" w:hAnsiTheme="minorHAnsi"/>
          <w:b w:val="0"/>
          <w:noProof/>
        </w:rPr>
      </w:pPr>
      <w:hyperlink w:anchor="_Toc16839628" w:history="1">
        <w:r w:rsidR="00A34377" w:rsidRPr="007A2F78">
          <w:rPr>
            <w:rStyle w:val="Hyperlink"/>
            <w:noProof/>
          </w:rPr>
          <w:t>Proposal 5</w:t>
        </w:r>
        <w:r w:rsidR="00A34377">
          <w:rPr>
            <w:rFonts w:asciiTheme="minorHAnsi" w:eastAsiaTheme="minorEastAsia" w:hAnsiTheme="minorHAnsi"/>
            <w:b w:val="0"/>
            <w:noProof/>
          </w:rPr>
          <w:tab/>
        </w:r>
        <w:r w:rsidR="00A34377" w:rsidRPr="007A2F78">
          <w:rPr>
            <w:rStyle w:val="Hyperlink"/>
            <w:noProof/>
          </w:rPr>
          <w:t>RAN1 to clarify whether the two sets of satellite parameters are applied per satellite or per beam.</w:t>
        </w:r>
      </w:hyperlink>
    </w:p>
    <w:p w14:paraId="0A331D84" w14:textId="77777777" w:rsidR="00A34377" w:rsidRDefault="002660E1">
      <w:pPr>
        <w:pStyle w:val="TableofFigures"/>
        <w:tabs>
          <w:tab w:val="right" w:leader="dot" w:pos="9629"/>
        </w:tabs>
        <w:rPr>
          <w:rFonts w:asciiTheme="minorHAnsi" w:eastAsiaTheme="minorEastAsia" w:hAnsiTheme="minorHAnsi"/>
          <w:b w:val="0"/>
          <w:noProof/>
        </w:rPr>
      </w:pPr>
      <w:hyperlink w:anchor="_Toc16839629" w:history="1">
        <w:r w:rsidR="00A34377" w:rsidRPr="007A2F78">
          <w:rPr>
            <w:rStyle w:val="Hyperlink"/>
            <w:noProof/>
          </w:rPr>
          <w:t>Proposal 6</w:t>
        </w:r>
        <w:r w:rsidR="00A34377">
          <w:rPr>
            <w:rFonts w:asciiTheme="minorHAnsi" w:eastAsiaTheme="minorEastAsia" w:hAnsiTheme="minorHAnsi"/>
            <w:b w:val="0"/>
            <w:noProof/>
          </w:rPr>
          <w:tab/>
        </w:r>
        <w:r w:rsidR="00A34377" w:rsidRPr="007A2F78">
          <w:rPr>
            <w:rStyle w:val="Hyperlink"/>
            <w:noProof/>
          </w:rPr>
          <w:t>For a given number of transmit/receive beams per satellite, RAN1 to discuss how to apply the satellite parameters to each beam (if they are per-satellite parameters).</w:t>
        </w:r>
      </w:hyperlink>
    </w:p>
    <w:p w14:paraId="65FFF644" w14:textId="77777777" w:rsidR="00A34377" w:rsidRDefault="002660E1">
      <w:pPr>
        <w:pStyle w:val="TableofFigures"/>
        <w:tabs>
          <w:tab w:val="right" w:leader="dot" w:pos="9629"/>
        </w:tabs>
        <w:rPr>
          <w:rFonts w:asciiTheme="minorHAnsi" w:eastAsiaTheme="minorEastAsia" w:hAnsiTheme="minorHAnsi"/>
          <w:b w:val="0"/>
          <w:noProof/>
        </w:rPr>
      </w:pPr>
      <w:hyperlink w:anchor="_Toc16839630" w:history="1">
        <w:r w:rsidR="00A34377" w:rsidRPr="007A2F78">
          <w:rPr>
            <w:rStyle w:val="Hyperlink"/>
            <w:noProof/>
          </w:rPr>
          <w:t>Proposal 7</w:t>
        </w:r>
        <w:r w:rsidR="00A34377">
          <w:rPr>
            <w:rFonts w:asciiTheme="minorHAnsi" w:eastAsiaTheme="minorEastAsia" w:hAnsiTheme="minorHAnsi"/>
            <w:b w:val="0"/>
            <w:noProof/>
          </w:rPr>
          <w:tab/>
        </w:r>
        <w:r w:rsidR="00A34377" w:rsidRPr="007A2F78">
          <w:rPr>
            <w:rStyle w:val="Hyperlink"/>
            <w:noProof/>
          </w:rPr>
          <w:t>For link budget calculation in NTN uplink, it is assumed that handheld UE transmits with 180 kHz bandwidth in S band and VSAT transmits with 400 MHz bandwidth in Ka band.</w:t>
        </w:r>
      </w:hyperlink>
    </w:p>
    <w:p w14:paraId="27977A14" w14:textId="77777777" w:rsidR="00A34377" w:rsidRDefault="002660E1">
      <w:pPr>
        <w:pStyle w:val="TableofFigures"/>
        <w:tabs>
          <w:tab w:val="right" w:leader="dot" w:pos="9629"/>
        </w:tabs>
        <w:rPr>
          <w:rFonts w:asciiTheme="minorHAnsi" w:eastAsiaTheme="minorEastAsia" w:hAnsiTheme="minorHAnsi"/>
          <w:b w:val="0"/>
          <w:noProof/>
        </w:rPr>
      </w:pPr>
      <w:hyperlink w:anchor="_Toc16839631" w:history="1">
        <w:r w:rsidR="00A34377" w:rsidRPr="007A2F78">
          <w:rPr>
            <w:rStyle w:val="Hyperlink"/>
            <w:noProof/>
          </w:rPr>
          <w:t>Proposal 8</w:t>
        </w:r>
        <w:r w:rsidR="00A34377">
          <w:rPr>
            <w:rFonts w:asciiTheme="minorHAnsi" w:eastAsiaTheme="minorEastAsia" w:hAnsiTheme="minorHAnsi"/>
            <w:b w:val="0"/>
            <w:noProof/>
          </w:rPr>
          <w:tab/>
        </w:r>
        <w:r w:rsidR="00A34377" w:rsidRPr="007A2F78">
          <w:rPr>
            <w:rStyle w:val="Hyperlink"/>
            <w:noProof/>
          </w:rPr>
          <w:t>RAN1 to assume an NTN system simulation setup without wrap-around: simulate 61 beams and collect statistics from the inner 19 beams.</w:t>
        </w:r>
      </w:hyperlink>
    </w:p>
    <w:p w14:paraId="79330FE7" w14:textId="77777777" w:rsidR="00A34377" w:rsidRDefault="002660E1">
      <w:pPr>
        <w:pStyle w:val="TableofFigures"/>
        <w:tabs>
          <w:tab w:val="right" w:leader="dot" w:pos="9629"/>
        </w:tabs>
        <w:rPr>
          <w:rFonts w:asciiTheme="minorHAnsi" w:eastAsiaTheme="minorEastAsia" w:hAnsiTheme="minorHAnsi"/>
          <w:b w:val="0"/>
          <w:noProof/>
        </w:rPr>
      </w:pPr>
      <w:hyperlink w:anchor="_Toc16839632" w:history="1">
        <w:r w:rsidR="00A34377" w:rsidRPr="007A2F78">
          <w:rPr>
            <w:rStyle w:val="Hyperlink"/>
            <w:noProof/>
          </w:rPr>
          <w:t>Proposal 9</w:t>
        </w:r>
        <w:r w:rsidR="00A34377">
          <w:rPr>
            <w:rFonts w:asciiTheme="minorHAnsi" w:eastAsiaTheme="minorEastAsia" w:hAnsiTheme="minorHAnsi"/>
            <w:b w:val="0"/>
            <w:noProof/>
          </w:rPr>
          <w:tab/>
        </w:r>
        <w:r w:rsidR="00A34377" w:rsidRPr="007A2F78">
          <w:rPr>
            <w:rStyle w:val="Hyperlink"/>
            <w:noProof/>
          </w:rPr>
          <w:t xml:space="preserve">RAN1 to carefully check the correctness of the channel models in </w:t>
        </w:r>
        <w:r w:rsidR="00A34377" w:rsidRPr="007A2F78">
          <w:rPr>
            <w:rStyle w:val="Hyperlink"/>
            <w:rFonts w:cs="Arial"/>
            <w:noProof/>
            <w:lang w:eastAsia="ja-JP"/>
          </w:rPr>
          <w:t>TR 38.811 V15.1.0 before adopting them in Rel-16 NTN evaluations.</w:t>
        </w:r>
      </w:hyperlink>
    </w:p>
    <w:p w14:paraId="36F60B6D" w14:textId="77777777" w:rsidR="00A34377" w:rsidRDefault="002660E1">
      <w:pPr>
        <w:pStyle w:val="TableofFigures"/>
        <w:tabs>
          <w:tab w:val="right" w:leader="dot" w:pos="9629"/>
        </w:tabs>
        <w:rPr>
          <w:rFonts w:asciiTheme="minorHAnsi" w:eastAsiaTheme="minorEastAsia" w:hAnsiTheme="minorHAnsi"/>
          <w:b w:val="0"/>
          <w:noProof/>
        </w:rPr>
      </w:pPr>
      <w:hyperlink w:anchor="_Toc16839633" w:history="1">
        <w:r w:rsidR="00A34377" w:rsidRPr="007A2F78">
          <w:rPr>
            <w:rStyle w:val="Hyperlink"/>
            <w:noProof/>
          </w:rPr>
          <w:t>Proposal 10</w:t>
        </w:r>
        <w:r w:rsidR="00A34377">
          <w:rPr>
            <w:rFonts w:asciiTheme="minorHAnsi" w:eastAsiaTheme="minorEastAsia" w:hAnsiTheme="minorHAnsi"/>
            <w:b w:val="0"/>
            <w:noProof/>
          </w:rPr>
          <w:tab/>
        </w:r>
        <w:r w:rsidR="00A34377" w:rsidRPr="007A2F78">
          <w:rPr>
            <w:rStyle w:val="Hyperlink"/>
            <w:noProof/>
          </w:rPr>
          <w:t>The simulation area of each beam is the Voronoi cell associated with the corresponding beam center.</w:t>
        </w:r>
      </w:hyperlink>
    </w:p>
    <w:p w14:paraId="18212DD7" w14:textId="77777777" w:rsidR="00A34377" w:rsidRDefault="002660E1">
      <w:pPr>
        <w:pStyle w:val="TableofFigures"/>
        <w:tabs>
          <w:tab w:val="right" w:leader="dot" w:pos="9629"/>
        </w:tabs>
        <w:rPr>
          <w:rFonts w:asciiTheme="minorHAnsi" w:eastAsiaTheme="minorEastAsia" w:hAnsiTheme="minorHAnsi"/>
          <w:b w:val="0"/>
          <w:noProof/>
        </w:rPr>
      </w:pPr>
      <w:hyperlink w:anchor="_Toc16839634" w:history="1">
        <w:r w:rsidR="00A34377" w:rsidRPr="007A2F78">
          <w:rPr>
            <w:rStyle w:val="Hyperlink"/>
            <w:noProof/>
          </w:rPr>
          <w:t>Proposal 11</w:t>
        </w:r>
        <w:r w:rsidR="00A34377">
          <w:rPr>
            <w:rFonts w:asciiTheme="minorHAnsi" w:eastAsiaTheme="minorEastAsia" w:hAnsiTheme="minorHAnsi"/>
            <w:b w:val="0"/>
            <w:noProof/>
          </w:rPr>
          <w:tab/>
        </w:r>
        <w:r w:rsidR="00A34377" w:rsidRPr="007A2F78">
          <w:rPr>
            <w:rStyle w:val="Hyperlink"/>
            <w:noProof/>
          </w:rPr>
          <w:t>In NTN system level simulation, a total of X*N UEs are uniformly distributed in the simulation area, where X is the average number of UEs per beam and N is the number of beams.</w:t>
        </w:r>
      </w:hyperlink>
    </w:p>
    <w:p w14:paraId="4BE85165" w14:textId="77777777" w:rsidR="00A34377" w:rsidRDefault="002660E1">
      <w:pPr>
        <w:pStyle w:val="TableofFigures"/>
        <w:tabs>
          <w:tab w:val="right" w:leader="dot" w:pos="9629"/>
        </w:tabs>
        <w:rPr>
          <w:rFonts w:asciiTheme="minorHAnsi" w:eastAsiaTheme="minorEastAsia" w:hAnsiTheme="minorHAnsi"/>
          <w:b w:val="0"/>
          <w:noProof/>
        </w:rPr>
      </w:pPr>
      <w:hyperlink w:anchor="_Toc16839635" w:history="1">
        <w:r w:rsidR="00A34377" w:rsidRPr="007A2F78">
          <w:rPr>
            <w:rStyle w:val="Hyperlink"/>
            <w:noProof/>
          </w:rPr>
          <w:t>Proposal 12</w:t>
        </w:r>
        <w:r w:rsidR="00A34377">
          <w:rPr>
            <w:rFonts w:asciiTheme="minorHAnsi" w:eastAsiaTheme="minorEastAsia" w:hAnsiTheme="minorHAnsi"/>
            <w:b w:val="0"/>
            <w:noProof/>
          </w:rPr>
          <w:tab/>
        </w:r>
        <w:r w:rsidR="00A34377" w:rsidRPr="007A2F78">
          <w:rPr>
            <w:rStyle w:val="Hyperlink"/>
            <w:noProof/>
          </w:rPr>
          <w:t>RAN1 to check the parameters for S-band GEO to see if uplink operating SNR (-5.8 dB) can be improved.</w:t>
        </w:r>
      </w:hyperlink>
    </w:p>
    <w:p w14:paraId="2A8763B0" w14:textId="77777777" w:rsidR="00A34377" w:rsidRDefault="002660E1">
      <w:pPr>
        <w:pStyle w:val="TableofFigures"/>
        <w:tabs>
          <w:tab w:val="right" w:leader="dot" w:pos="9629"/>
        </w:tabs>
        <w:rPr>
          <w:rFonts w:asciiTheme="minorHAnsi" w:eastAsiaTheme="minorEastAsia" w:hAnsiTheme="minorHAnsi"/>
          <w:b w:val="0"/>
          <w:noProof/>
        </w:rPr>
      </w:pPr>
      <w:hyperlink w:anchor="_Toc16839636" w:history="1">
        <w:r w:rsidR="00A34377" w:rsidRPr="007A2F78">
          <w:rPr>
            <w:rStyle w:val="Hyperlink"/>
            <w:noProof/>
          </w:rPr>
          <w:t>Proposal 13</w:t>
        </w:r>
        <w:r w:rsidR="00A34377">
          <w:rPr>
            <w:rFonts w:asciiTheme="minorHAnsi" w:eastAsiaTheme="minorEastAsia" w:hAnsiTheme="minorHAnsi"/>
            <w:b w:val="0"/>
            <w:noProof/>
          </w:rPr>
          <w:tab/>
        </w:r>
        <w:r w:rsidR="00A34377" w:rsidRPr="007A2F78">
          <w:rPr>
            <w:rStyle w:val="Hyperlink"/>
            <w:noProof/>
          </w:rPr>
          <w:t>RAN1 to continue link budget analysis by evaluating CIR from system-level simulation to calculate CINR.</w:t>
        </w:r>
      </w:hyperlink>
    </w:p>
    <w:p w14:paraId="7FDB652A" w14:textId="6F186B96" w:rsidR="009F06A5" w:rsidRPr="00B3738A" w:rsidRDefault="009F06A5" w:rsidP="00752E43">
      <w:pPr>
        <w:rPr>
          <w:sz w:val="20"/>
          <w:szCs w:val="20"/>
          <w:highlight w:val="yellow"/>
        </w:rPr>
      </w:pPr>
      <w:r w:rsidRPr="00B3738A">
        <w:rPr>
          <w:b/>
          <w:bCs/>
          <w:sz w:val="20"/>
          <w:szCs w:val="20"/>
        </w:rPr>
        <w:fldChar w:fldCharType="end"/>
      </w:r>
    </w:p>
    <w:p w14:paraId="43055322" w14:textId="1A950341" w:rsidR="00185E4A" w:rsidRPr="00114AE3" w:rsidRDefault="00F507D1" w:rsidP="00114AE3">
      <w:pPr>
        <w:pStyle w:val="Heading1"/>
      </w:pPr>
      <w:bookmarkStart w:id="34" w:name="_In-sequence_SDU_delivery"/>
      <w:bookmarkEnd w:id="34"/>
      <w:r w:rsidRPr="00CE0424">
        <w:t>References</w:t>
      </w:r>
      <w:bookmarkStart w:id="35" w:name="_Ref510504022"/>
      <w:bookmarkStart w:id="36" w:name="_Ref510814820"/>
      <w:bookmarkStart w:id="37" w:name="_Ref174151459"/>
      <w:bookmarkStart w:id="38" w:name="_Ref189809556"/>
    </w:p>
    <w:p w14:paraId="42A0218A" w14:textId="037184F5" w:rsidR="00185E4A" w:rsidRPr="00121032" w:rsidRDefault="00185E4A" w:rsidP="00185E4A">
      <w:pPr>
        <w:pStyle w:val="Reference"/>
        <w:rPr>
          <w:sz w:val="20"/>
          <w:szCs w:val="20"/>
        </w:rPr>
      </w:pPr>
      <w:r w:rsidRPr="00F22649">
        <w:rPr>
          <w:sz w:val="20"/>
          <w:szCs w:val="20"/>
        </w:rPr>
        <w:t>RP-1</w:t>
      </w:r>
      <w:r w:rsidR="0055306A" w:rsidRPr="00F22649">
        <w:rPr>
          <w:sz w:val="20"/>
          <w:szCs w:val="20"/>
        </w:rPr>
        <w:t>9</w:t>
      </w:r>
      <w:r w:rsidR="005379CC" w:rsidRPr="00F22649">
        <w:rPr>
          <w:sz w:val="20"/>
          <w:szCs w:val="20"/>
        </w:rPr>
        <w:t>0710</w:t>
      </w:r>
      <w:r w:rsidRPr="00F22649">
        <w:rPr>
          <w:sz w:val="20"/>
          <w:szCs w:val="20"/>
        </w:rPr>
        <w:t>, Study on solutions for NR to support non-terrestrial networks (NTN), Thales, RAN #</w:t>
      </w:r>
      <w:r w:rsidR="005379CC" w:rsidRPr="00F22649">
        <w:rPr>
          <w:sz w:val="20"/>
          <w:szCs w:val="20"/>
        </w:rPr>
        <w:t>83</w:t>
      </w:r>
      <w:r w:rsidRPr="00F22649">
        <w:rPr>
          <w:sz w:val="20"/>
          <w:szCs w:val="20"/>
        </w:rPr>
        <w:t xml:space="preserve">, </w:t>
      </w:r>
      <w:r w:rsidR="005379CC" w:rsidRPr="001A0440">
        <w:rPr>
          <w:sz w:val="20"/>
          <w:szCs w:val="20"/>
        </w:rPr>
        <w:t>Shenzhen</w:t>
      </w:r>
      <w:r w:rsidRPr="001A0440">
        <w:rPr>
          <w:sz w:val="20"/>
          <w:szCs w:val="20"/>
        </w:rPr>
        <w:t xml:space="preserve">, </w:t>
      </w:r>
      <w:r w:rsidR="005379CC" w:rsidRPr="001A0440">
        <w:rPr>
          <w:sz w:val="20"/>
          <w:szCs w:val="20"/>
        </w:rPr>
        <w:t>China</w:t>
      </w:r>
      <w:r w:rsidRPr="001A0440">
        <w:rPr>
          <w:sz w:val="20"/>
          <w:szCs w:val="20"/>
        </w:rPr>
        <w:t xml:space="preserve">, </w:t>
      </w:r>
      <w:r w:rsidR="005379CC" w:rsidRPr="001A0440">
        <w:rPr>
          <w:sz w:val="20"/>
          <w:szCs w:val="20"/>
        </w:rPr>
        <w:t>March</w:t>
      </w:r>
      <w:r w:rsidRPr="001A0440">
        <w:rPr>
          <w:sz w:val="20"/>
          <w:szCs w:val="20"/>
        </w:rPr>
        <w:t xml:space="preserve"> 201</w:t>
      </w:r>
      <w:r w:rsidR="005379CC" w:rsidRPr="00121032">
        <w:rPr>
          <w:sz w:val="20"/>
          <w:szCs w:val="20"/>
        </w:rPr>
        <w:t>9</w:t>
      </w:r>
      <w:r w:rsidR="003E0B74" w:rsidRPr="00121032">
        <w:rPr>
          <w:sz w:val="20"/>
          <w:szCs w:val="20"/>
        </w:rPr>
        <w:t>.</w:t>
      </w:r>
    </w:p>
    <w:p w14:paraId="755C3743" w14:textId="713AE09B" w:rsidR="00295CDB" w:rsidRPr="00121032" w:rsidRDefault="00715EB1" w:rsidP="00295CDB">
      <w:pPr>
        <w:pStyle w:val="Reference"/>
        <w:rPr>
          <w:sz w:val="20"/>
          <w:szCs w:val="20"/>
        </w:rPr>
      </w:pPr>
      <w:bookmarkStart w:id="39" w:name="_Ref4507844"/>
      <w:r w:rsidRPr="00121032">
        <w:rPr>
          <w:sz w:val="20"/>
          <w:szCs w:val="20"/>
        </w:rPr>
        <w:t>T</w:t>
      </w:r>
      <w:r w:rsidR="000F36A4" w:rsidRPr="00121032">
        <w:rPr>
          <w:sz w:val="20"/>
          <w:szCs w:val="20"/>
        </w:rPr>
        <w:t>R</w:t>
      </w:r>
      <w:r w:rsidRPr="00121032">
        <w:rPr>
          <w:sz w:val="20"/>
          <w:szCs w:val="20"/>
        </w:rPr>
        <w:t xml:space="preserve"> 38.</w:t>
      </w:r>
      <w:r w:rsidR="000F36A4" w:rsidRPr="00121032">
        <w:rPr>
          <w:sz w:val="20"/>
          <w:szCs w:val="20"/>
        </w:rPr>
        <w:t>8</w:t>
      </w:r>
      <w:r w:rsidR="00295CDB" w:rsidRPr="00121032">
        <w:rPr>
          <w:sz w:val="20"/>
          <w:szCs w:val="20"/>
        </w:rPr>
        <w:t>2</w:t>
      </w:r>
      <w:r w:rsidR="000F36A4" w:rsidRPr="00121032">
        <w:rPr>
          <w:sz w:val="20"/>
          <w:szCs w:val="20"/>
        </w:rPr>
        <w:t>1</w:t>
      </w:r>
      <w:bookmarkEnd w:id="35"/>
      <w:bookmarkEnd w:id="36"/>
      <w:bookmarkEnd w:id="37"/>
      <w:bookmarkEnd w:id="38"/>
      <w:r w:rsidR="000F36A4" w:rsidRPr="00121032">
        <w:rPr>
          <w:sz w:val="20"/>
          <w:szCs w:val="20"/>
        </w:rPr>
        <w:t xml:space="preserve">, </w:t>
      </w:r>
      <w:r w:rsidR="00B1149F" w:rsidRPr="00121032">
        <w:rPr>
          <w:sz w:val="20"/>
          <w:szCs w:val="20"/>
        </w:rPr>
        <w:t>Solutions for NR to support non-terrestrial networks</w:t>
      </w:r>
      <w:r w:rsidR="000F36A4" w:rsidRPr="00121032">
        <w:rPr>
          <w:sz w:val="20"/>
          <w:szCs w:val="20"/>
        </w:rPr>
        <w:t>, V</w:t>
      </w:r>
      <w:r w:rsidR="007031AE" w:rsidRPr="00121032">
        <w:rPr>
          <w:sz w:val="20"/>
          <w:szCs w:val="20"/>
        </w:rPr>
        <w:t>0</w:t>
      </w:r>
      <w:r w:rsidR="000F36A4" w:rsidRPr="00121032">
        <w:rPr>
          <w:sz w:val="20"/>
          <w:szCs w:val="20"/>
        </w:rPr>
        <w:t>.</w:t>
      </w:r>
      <w:r w:rsidR="007031AE" w:rsidRPr="00121032">
        <w:rPr>
          <w:sz w:val="20"/>
          <w:szCs w:val="20"/>
        </w:rPr>
        <w:t>7</w:t>
      </w:r>
      <w:r w:rsidR="000F36A4" w:rsidRPr="00121032">
        <w:rPr>
          <w:sz w:val="20"/>
          <w:szCs w:val="20"/>
        </w:rPr>
        <w:t>.0.</w:t>
      </w:r>
      <w:bookmarkEnd w:id="39"/>
    </w:p>
    <w:p w14:paraId="4F9FEF26" w14:textId="6387789B" w:rsidR="003E0B74" w:rsidRPr="00776A0C" w:rsidRDefault="00C97EBF" w:rsidP="00295CDB">
      <w:pPr>
        <w:pStyle w:val="Reference"/>
        <w:rPr>
          <w:sz w:val="20"/>
          <w:szCs w:val="20"/>
        </w:rPr>
      </w:pPr>
      <w:r w:rsidRPr="00987A1F">
        <w:rPr>
          <w:sz w:val="20"/>
          <w:szCs w:val="20"/>
        </w:rPr>
        <w:t xml:space="preserve">TR 38.803, Study on new radio access technology: Radio Frequency (RF) and co-existence aspects, </w:t>
      </w:r>
      <w:r w:rsidR="008C59CA" w:rsidRPr="00987A1F">
        <w:rPr>
          <w:sz w:val="20"/>
          <w:szCs w:val="20"/>
        </w:rPr>
        <w:t>V14.2.0</w:t>
      </w:r>
      <w:r w:rsidR="00E3599F" w:rsidRPr="00776A0C">
        <w:rPr>
          <w:sz w:val="20"/>
          <w:szCs w:val="20"/>
        </w:rPr>
        <w:t>.</w:t>
      </w:r>
    </w:p>
    <w:p w14:paraId="5F2ACC4A" w14:textId="2383F4A6" w:rsidR="00117C41" w:rsidRPr="008F4B54" w:rsidRDefault="00117C41" w:rsidP="00117C41">
      <w:pPr>
        <w:pStyle w:val="Reference"/>
        <w:rPr>
          <w:sz w:val="20"/>
          <w:szCs w:val="20"/>
        </w:rPr>
      </w:pPr>
      <w:bookmarkStart w:id="40" w:name="_Ref14945328"/>
      <w:r w:rsidRPr="008F4B54">
        <w:rPr>
          <w:sz w:val="20"/>
          <w:szCs w:val="20"/>
        </w:rPr>
        <w:t>R1-1907788, Corrections for TR38.811 Chapter 6 Non-Terrestrial Networks channel models, Huawei, HiSilicon, Nokia, Nokia Shanghai Bell, Thales, Fraunhofer HHI, Fraunhofer IIS, Keysight, ZTE, ESA, Intelsat, Mitsubishi Electric, Dish, Spirent, IITH, Hughes.</w:t>
      </w:r>
      <w:bookmarkEnd w:id="40"/>
    </w:p>
    <w:p w14:paraId="48AA1DB5" w14:textId="51A1C8A5" w:rsidR="00117C41" w:rsidRPr="008F4B54" w:rsidRDefault="008D7D4C" w:rsidP="00117C41">
      <w:pPr>
        <w:pStyle w:val="Reference"/>
        <w:rPr>
          <w:sz w:val="20"/>
          <w:szCs w:val="20"/>
        </w:rPr>
      </w:pPr>
      <w:bookmarkStart w:id="41" w:name="_Ref16519317"/>
      <w:r w:rsidRPr="008F4B54">
        <w:rPr>
          <w:sz w:val="20"/>
          <w:szCs w:val="20"/>
        </w:rPr>
        <w:t>R1-140842, Discussion on Wrapping Methodology, RAN1#76, Ericsson</w:t>
      </w:r>
      <w:bookmarkEnd w:id="41"/>
    </w:p>
    <w:p w14:paraId="469B557B" w14:textId="2DA82B41" w:rsidR="001D7906" w:rsidRPr="008F4B54" w:rsidRDefault="001D7906" w:rsidP="00117C41">
      <w:pPr>
        <w:pStyle w:val="Reference"/>
        <w:rPr>
          <w:sz w:val="20"/>
          <w:szCs w:val="20"/>
        </w:rPr>
      </w:pPr>
      <w:bookmarkStart w:id="42" w:name="_Ref16594758"/>
      <w:r w:rsidRPr="008F4B54">
        <w:rPr>
          <w:sz w:val="20"/>
          <w:szCs w:val="20"/>
        </w:rPr>
        <w:t>TR 38.901, Study on channel model for frequencies from 0.5 to 100 GHz, V15.0.0.</w:t>
      </w:r>
      <w:bookmarkEnd w:id="42"/>
    </w:p>
    <w:sectPr w:rsidR="001D7906" w:rsidRPr="008F4B5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EC01E" w14:textId="77777777" w:rsidR="002660E1" w:rsidRDefault="002660E1">
      <w:r>
        <w:separator/>
      </w:r>
    </w:p>
  </w:endnote>
  <w:endnote w:type="continuationSeparator" w:id="0">
    <w:p w14:paraId="356BA36E" w14:textId="77777777" w:rsidR="002660E1" w:rsidRDefault="002660E1">
      <w:r>
        <w:continuationSeparator/>
      </w:r>
    </w:p>
  </w:endnote>
  <w:endnote w:type="continuationNotice" w:id="1">
    <w:p w14:paraId="53B33882" w14:textId="77777777" w:rsidR="002660E1" w:rsidRDefault="002660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151BA3" w:rsidRDefault="00151BA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DAC0C" w14:textId="77777777" w:rsidR="002660E1" w:rsidRDefault="002660E1">
      <w:r>
        <w:separator/>
      </w:r>
    </w:p>
  </w:footnote>
  <w:footnote w:type="continuationSeparator" w:id="0">
    <w:p w14:paraId="7FA19B60" w14:textId="77777777" w:rsidR="002660E1" w:rsidRDefault="002660E1">
      <w:r>
        <w:continuationSeparator/>
      </w:r>
    </w:p>
  </w:footnote>
  <w:footnote w:type="continuationNotice" w:id="1">
    <w:p w14:paraId="2D460F30" w14:textId="77777777" w:rsidR="002660E1" w:rsidRDefault="002660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151BA3" w:rsidRDefault="00151BA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4C7C82"/>
    <w:multiLevelType w:val="hybridMultilevel"/>
    <w:tmpl w:val="9D46F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F4445"/>
    <w:multiLevelType w:val="hybridMultilevel"/>
    <w:tmpl w:val="9AC8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A20312"/>
    <w:multiLevelType w:val="hybridMultilevel"/>
    <w:tmpl w:val="1550F7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BA0A77"/>
    <w:multiLevelType w:val="hybridMultilevel"/>
    <w:tmpl w:val="40F8B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441B27"/>
    <w:multiLevelType w:val="hybridMultilevel"/>
    <w:tmpl w:val="9A227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93355B"/>
    <w:multiLevelType w:val="hybridMultilevel"/>
    <w:tmpl w:val="2DEE7552"/>
    <w:lvl w:ilvl="0" w:tplc="75A494E6">
      <w:start w:val="1"/>
      <w:numFmt w:val="bullet"/>
      <w:lvlText w:val="•"/>
      <w:lvlJc w:val="left"/>
      <w:pPr>
        <w:ind w:left="771" w:hanging="360"/>
      </w:pPr>
      <w:rPr>
        <w:rFonts w:ascii="Arial" w:hAnsi="Aria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0802B2"/>
    <w:multiLevelType w:val="hybridMultilevel"/>
    <w:tmpl w:val="0AD29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513DBA"/>
    <w:multiLevelType w:val="hybridMultilevel"/>
    <w:tmpl w:val="987A2204"/>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E9642D"/>
    <w:multiLevelType w:val="hybridMultilevel"/>
    <w:tmpl w:val="B52A9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160DC"/>
    <w:multiLevelType w:val="hybridMultilevel"/>
    <w:tmpl w:val="3E080F80"/>
    <w:lvl w:ilvl="0" w:tplc="F62E0124">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6109D3"/>
    <w:multiLevelType w:val="hybridMultilevel"/>
    <w:tmpl w:val="3F52BF70"/>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775D0A"/>
    <w:multiLevelType w:val="hybridMultilevel"/>
    <w:tmpl w:val="162CE29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4A444BA"/>
    <w:multiLevelType w:val="hybridMultilevel"/>
    <w:tmpl w:val="C576C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AE1F15"/>
    <w:multiLevelType w:val="hybridMultilevel"/>
    <w:tmpl w:val="5A2A7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624D7A"/>
    <w:multiLevelType w:val="multilevel"/>
    <w:tmpl w:val="EB1418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EB67D1F"/>
    <w:multiLevelType w:val="hybridMultilevel"/>
    <w:tmpl w:val="C1BA8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4"/>
  </w:num>
  <w:num w:numId="3">
    <w:abstractNumId w:val="0"/>
  </w:num>
  <w:num w:numId="4">
    <w:abstractNumId w:val="19"/>
  </w:num>
  <w:num w:numId="5">
    <w:abstractNumId w:val="20"/>
  </w:num>
  <w:num w:numId="6">
    <w:abstractNumId w:val="23"/>
  </w:num>
  <w:num w:numId="7">
    <w:abstractNumId w:val="5"/>
  </w:num>
  <w:num w:numId="8">
    <w:abstractNumId w:val="6"/>
  </w:num>
  <w:num w:numId="9">
    <w:abstractNumId w:val="3"/>
  </w:num>
  <w:num w:numId="10">
    <w:abstractNumId w:val="29"/>
  </w:num>
  <w:num w:numId="11">
    <w:abstractNumId w:val="12"/>
  </w:num>
  <w:num w:numId="12">
    <w:abstractNumId w:val="27"/>
  </w:num>
  <w:num w:numId="13">
    <w:abstractNumId w:val="10"/>
  </w:num>
  <w:num w:numId="14">
    <w:abstractNumId w:val="18"/>
  </w:num>
  <w:num w:numId="15">
    <w:abstractNumId w:val="26"/>
  </w:num>
  <w:num w:numId="16">
    <w:abstractNumId w:val="1"/>
  </w:num>
  <w:num w:numId="17">
    <w:abstractNumId w:val="16"/>
  </w:num>
  <w:num w:numId="18">
    <w:abstractNumId w:val="11"/>
  </w:num>
  <w:num w:numId="19">
    <w:abstractNumId w:val="8"/>
  </w:num>
  <w:num w:numId="20">
    <w:abstractNumId w:val="28"/>
  </w:num>
  <w:num w:numId="21">
    <w:abstractNumId w:val="7"/>
  </w:num>
  <w:num w:numId="22">
    <w:abstractNumId w:val="22"/>
  </w:num>
  <w:num w:numId="23">
    <w:abstractNumId w:val="13"/>
  </w:num>
  <w:num w:numId="24">
    <w:abstractNumId w:val="21"/>
  </w:num>
  <w:num w:numId="25">
    <w:abstractNumId w:val="24"/>
  </w:num>
  <w:num w:numId="26">
    <w:abstractNumId w:val="2"/>
  </w:num>
  <w:num w:numId="27">
    <w:abstractNumId w:val="4"/>
  </w:num>
  <w:num w:numId="28">
    <w:abstractNumId w:val="15"/>
  </w:num>
  <w:num w:numId="29">
    <w:abstractNumId w:val="25"/>
  </w:num>
  <w:num w:numId="30">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23C"/>
    <w:rsid w:val="000006E1"/>
    <w:rsid w:val="00002A37"/>
    <w:rsid w:val="0000564C"/>
    <w:rsid w:val="00006431"/>
    <w:rsid w:val="00006446"/>
    <w:rsid w:val="00006896"/>
    <w:rsid w:val="00007CDC"/>
    <w:rsid w:val="00010F01"/>
    <w:rsid w:val="00011B28"/>
    <w:rsid w:val="00012495"/>
    <w:rsid w:val="00015CC2"/>
    <w:rsid w:val="00015D15"/>
    <w:rsid w:val="00021CD6"/>
    <w:rsid w:val="0002564D"/>
    <w:rsid w:val="00025ECA"/>
    <w:rsid w:val="000325B8"/>
    <w:rsid w:val="00033A33"/>
    <w:rsid w:val="00034C15"/>
    <w:rsid w:val="00036BA1"/>
    <w:rsid w:val="00041BA2"/>
    <w:rsid w:val="000422E2"/>
    <w:rsid w:val="000428E8"/>
    <w:rsid w:val="00042F22"/>
    <w:rsid w:val="00043A70"/>
    <w:rsid w:val="000440A2"/>
    <w:rsid w:val="000444EF"/>
    <w:rsid w:val="00044C67"/>
    <w:rsid w:val="0004603E"/>
    <w:rsid w:val="00052781"/>
    <w:rsid w:val="00052A07"/>
    <w:rsid w:val="000534E3"/>
    <w:rsid w:val="0005406E"/>
    <w:rsid w:val="0005606A"/>
    <w:rsid w:val="00057117"/>
    <w:rsid w:val="0006060C"/>
    <w:rsid w:val="000616E7"/>
    <w:rsid w:val="0006487E"/>
    <w:rsid w:val="0006535A"/>
    <w:rsid w:val="00065E1A"/>
    <w:rsid w:val="0007155D"/>
    <w:rsid w:val="000738AC"/>
    <w:rsid w:val="000748AA"/>
    <w:rsid w:val="00077468"/>
    <w:rsid w:val="00077E5F"/>
    <w:rsid w:val="0008036A"/>
    <w:rsid w:val="00081160"/>
    <w:rsid w:val="0008193D"/>
    <w:rsid w:val="00081AE6"/>
    <w:rsid w:val="000855EB"/>
    <w:rsid w:val="00085B52"/>
    <w:rsid w:val="000861A0"/>
    <w:rsid w:val="000866F2"/>
    <w:rsid w:val="0009009F"/>
    <w:rsid w:val="00091557"/>
    <w:rsid w:val="000924C1"/>
    <w:rsid w:val="000924F0"/>
    <w:rsid w:val="00093474"/>
    <w:rsid w:val="0009370F"/>
    <w:rsid w:val="0009510F"/>
    <w:rsid w:val="00095F24"/>
    <w:rsid w:val="000A1B7B"/>
    <w:rsid w:val="000A5107"/>
    <w:rsid w:val="000A56F2"/>
    <w:rsid w:val="000A580C"/>
    <w:rsid w:val="000A7109"/>
    <w:rsid w:val="000B078B"/>
    <w:rsid w:val="000B2719"/>
    <w:rsid w:val="000B3A8F"/>
    <w:rsid w:val="000B3B03"/>
    <w:rsid w:val="000B4AB9"/>
    <w:rsid w:val="000B58C3"/>
    <w:rsid w:val="000B5B4E"/>
    <w:rsid w:val="000B61E9"/>
    <w:rsid w:val="000B71EB"/>
    <w:rsid w:val="000B74B3"/>
    <w:rsid w:val="000C165A"/>
    <w:rsid w:val="000C2A7A"/>
    <w:rsid w:val="000C2E19"/>
    <w:rsid w:val="000C3C55"/>
    <w:rsid w:val="000C4F3E"/>
    <w:rsid w:val="000C51EC"/>
    <w:rsid w:val="000C5BC4"/>
    <w:rsid w:val="000C6F25"/>
    <w:rsid w:val="000C72EF"/>
    <w:rsid w:val="000C7772"/>
    <w:rsid w:val="000C7E89"/>
    <w:rsid w:val="000D0D07"/>
    <w:rsid w:val="000D3D4C"/>
    <w:rsid w:val="000D4797"/>
    <w:rsid w:val="000D5CEB"/>
    <w:rsid w:val="000D614F"/>
    <w:rsid w:val="000D7F1F"/>
    <w:rsid w:val="000E0527"/>
    <w:rsid w:val="000E1E92"/>
    <w:rsid w:val="000E369D"/>
    <w:rsid w:val="000E36AB"/>
    <w:rsid w:val="000E40B3"/>
    <w:rsid w:val="000E5128"/>
    <w:rsid w:val="000F06D6"/>
    <w:rsid w:val="000F0EB1"/>
    <w:rsid w:val="000F1106"/>
    <w:rsid w:val="000F1F17"/>
    <w:rsid w:val="000F2013"/>
    <w:rsid w:val="000F2F0B"/>
    <w:rsid w:val="000F30DE"/>
    <w:rsid w:val="000F36A4"/>
    <w:rsid w:val="000F3BE9"/>
    <w:rsid w:val="000F3F6C"/>
    <w:rsid w:val="000F6DF3"/>
    <w:rsid w:val="001005FF"/>
    <w:rsid w:val="00102E1D"/>
    <w:rsid w:val="001054AB"/>
    <w:rsid w:val="00105EE7"/>
    <w:rsid w:val="001062FB"/>
    <w:rsid w:val="001063E6"/>
    <w:rsid w:val="0010686F"/>
    <w:rsid w:val="001123A7"/>
    <w:rsid w:val="00113CF4"/>
    <w:rsid w:val="00114AE3"/>
    <w:rsid w:val="001153EA"/>
    <w:rsid w:val="00115643"/>
    <w:rsid w:val="00116765"/>
    <w:rsid w:val="0011691C"/>
    <w:rsid w:val="00116CD0"/>
    <w:rsid w:val="00117814"/>
    <w:rsid w:val="00117C41"/>
    <w:rsid w:val="00120AD4"/>
    <w:rsid w:val="00121032"/>
    <w:rsid w:val="001219F5"/>
    <w:rsid w:val="00121A20"/>
    <w:rsid w:val="0012278F"/>
    <w:rsid w:val="0012377F"/>
    <w:rsid w:val="00124314"/>
    <w:rsid w:val="00125CE7"/>
    <w:rsid w:val="00126681"/>
    <w:rsid w:val="00126B4A"/>
    <w:rsid w:val="00132FD0"/>
    <w:rsid w:val="00133DD3"/>
    <w:rsid w:val="00133F6C"/>
    <w:rsid w:val="001344C0"/>
    <w:rsid w:val="001346FA"/>
    <w:rsid w:val="00134B8C"/>
    <w:rsid w:val="00135252"/>
    <w:rsid w:val="00137AB5"/>
    <w:rsid w:val="00137F0B"/>
    <w:rsid w:val="00146D40"/>
    <w:rsid w:val="00151BA3"/>
    <w:rsid w:val="00151E23"/>
    <w:rsid w:val="001526E0"/>
    <w:rsid w:val="001551B5"/>
    <w:rsid w:val="0016097D"/>
    <w:rsid w:val="00161575"/>
    <w:rsid w:val="001639D9"/>
    <w:rsid w:val="00163DF4"/>
    <w:rsid w:val="001659C1"/>
    <w:rsid w:val="00170328"/>
    <w:rsid w:val="0017063A"/>
    <w:rsid w:val="00173A8E"/>
    <w:rsid w:val="0017502C"/>
    <w:rsid w:val="00180BFA"/>
    <w:rsid w:val="0018143F"/>
    <w:rsid w:val="00181FF8"/>
    <w:rsid w:val="00184BC0"/>
    <w:rsid w:val="00185E4A"/>
    <w:rsid w:val="00190AC1"/>
    <w:rsid w:val="00190CF6"/>
    <w:rsid w:val="0019341A"/>
    <w:rsid w:val="00197DF9"/>
    <w:rsid w:val="001A0440"/>
    <w:rsid w:val="001A1987"/>
    <w:rsid w:val="001A2564"/>
    <w:rsid w:val="001A29D7"/>
    <w:rsid w:val="001A5A7B"/>
    <w:rsid w:val="001A5C53"/>
    <w:rsid w:val="001A5F42"/>
    <w:rsid w:val="001A6173"/>
    <w:rsid w:val="001A68CD"/>
    <w:rsid w:val="001A6CBA"/>
    <w:rsid w:val="001A75FB"/>
    <w:rsid w:val="001B0D97"/>
    <w:rsid w:val="001B15CB"/>
    <w:rsid w:val="001B249F"/>
    <w:rsid w:val="001B2D95"/>
    <w:rsid w:val="001B5A5D"/>
    <w:rsid w:val="001C1CE5"/>
    <w:rsid w:val="001C3C02"/>
    <w:rsid w:val="001C3D2A"/>
    <w:rsid w:val="001C3DC9"/>
    <w:rsid w:val="001D09D0"/>
    <w:rsid w:val="001D17C6"/>
    <w:rsid w:val="001D3189"/>
    <w:rsid w:val="001D51BA"/>
    <w:rsid w:val="001D53E7"/>
    <w:rsid w:val="001D6342"/>
    <w:rsid w:val="001D6D53"/>
    <w:rsid w:val="001D781B"/>
    <w:rsid w:val="001D7906"/>
    <w:rsid w:val="001E1624"/>
    <w:rsid w:val="001E2291"/>
    <w:rsid w:val="001E32E5"/>
    <w:rsid w:val="001E3FB6"/>
    <w:rsid w:val="001E481B"/>
    <w:rsid w:val="001E58E2"/>
    <w:rsid w:val="001E6709"/>
    <w:rsid w:val="001E7AED"/>
    <w:rsid w:val="001F2F37"/>
    <w:rsid w:val="001F3916"/>
    <w:rsid w:val="001F54C5"/>
    <w:rsid w:val="001F564C"/>
    <w:rsid w:val="001F662C"/>
    <w:rsid w:val="001F7074"/>
    <w:rsid w:val="001F764B"/>
    <w:rsid w:val="00200400"/>
    <w:rsid w:val="00200490"/>
    <w:rsid w:val="002014DD"/>
    <w:rsid w:val="00201F3A"/>
    <w:rsid w:val="00203F96"/>
    <w:rsid w:val="002058C3"/>
    <w:rsid w:val="002069B2"/>
    <w:rsid w:val="00207C8E"/>
    <w:rsid w:val="00207FA3"/>
    <w:rsid w:val="00211B9C"/>
    <w:rsid w:val="00214DA8"/>
    <w:rsid w:val="00215423"/>
    <w:rsid w:val="002158FA"/>
    <w:rsid w:val="00217921"/>
    <w:rsid w:val="00220600"/>
    <w:rsid w:val="002214D6"/>
    <w:rsid w:val="002224DB"/>
    <w:rsid w:val="00223FCB"/>
    <w:rsid w:val="002252C3"/>
    <w:rsid w:val="00225C54"/>
    <w:rsid w:val="0022614E"/>
    <w:rsid w:val="00226249"/>
    <w:rsid w:val="00227475"/>
    <w:rsid w:val="00230765"/>
    <w:rsid w:val="00230D18"/>
    <w:rsid w:val="002319E4"/>
    <w:rsid w:val="00232DC9"/>
    <w:rsid w:val="002338B3"/>
    <w:rsid w:val="00234A58"/>
    <w:rsid w:val="00234EFA"/>
    <w:rsid w:val="00235632"/>
    <w:rsid w:val="00235872"/>
    <w:rsid w:val="002378FA"/>
    <w:rsid w:val="002403E6"/>
    <w:rsid w:val="00240BB4"/>
    <w:rsid w:val="00241559"/>
    <w:rsid w:val="002435B3"/>
    <w:rsid w:val="002441E3"/>
    <w:rsid w:val="00244A64"/>
    <w:rsid w:val="002458EB"/>
    <w:rsid w:val="002500C8"/>
    <w:rsid w:val="00251882"/>
    <w:rsid w:val="00252826"/>
    <w:rsid w:val="00256209"/>
    <w:rsid w:val="00257543"/>
    <w:rsid w:val="002617E7"/>
    <w:rsid w:val="00262BCE"/>
    <w:rsid w:val="00262BD7"/>
    <w:rsid w:val="00264228"/>
    <w:rsid w:val="00264334"/>
    <w:rsid w:val="0026473E"/>
    <w:rsid w:val="002660E1"/>
    <w:rsid w:val="00266214"/>
    <w:rsid w:val="00267C83"/>
    <w:rsid w:val="00270874"/>
    <w:rsid w:val="0027144F"/>
    <w:rsid w:val="00271813"/>
    <w:rsid w:val="00271F3A"/>
    <w:rsid w:val="00273278"/>
    <w:rsid w:val="002737F4"/>
    <w:rsid w:val="002805F5"/>
    <w:rsid w:val="00280751"/>
    <w:rsid w:val="0028280A"/>
    <w:rsid w:val="0028542E"/>
    <w:rsid w:val="002862CA"/>
    <w:rsid w:val="002869CA"/>
    <w:rsid w:val="00286ACD"/>
    <w:rsid w:val="00287838"/>
    <w:rsid w:val="002907B5"/>
    <w:rsid w:val="00291CB8"/>
    <w:rsid w:val="00292EB7"/>
    <w:rsid w:val="00293DB8"/>
    <w:rsid w:val="00295CDB"/>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A66C3"/>
    <w:rsid w:val="002B040E"/>
    <w:rsid w:val="002B17BB"/>
    <w:rsid w:val="002B24D6"/>
    <w:rsid w:val="002B5D42"/>
    <w:rsid w:val="002B626A"/>
    <w:rsid w:val="002B6EE9"/>
    <w:rsid w:val="002C1D26"/>
    <w:rsid w:val="002C4191"/>
    <w:rsid w:val="002C41E6"/>
    <w:rsid w:val="002C4E9F"/>
    <w:rsid w:val="002D071A"/>
    <w:rsid w:val="002D2741"/>
    <w:rsid w:val="002D34B2"/>
    <w:rsid w:val="002D48B0"/>
    <w:rsid w:val="002D5B37"/>
    <w:rsid w:val="002D7637"/>
    <w:rsid w:val="002D7E85"/>
    <w:rsid w:val="002E17F2"/>
    <w:rsid w:val="002E463E"/>
    <w:rsid w:val="002E583A"/>
    <w:rsid w:val="002E5CC3"/>
    <w:rsid w:val="002E76DD"/>
    <w:rsid w:val="002E7CAE"/>
    <w:rsid w:val="002F2771"/>
    <w:rsid w:val="002F37A9"/>
    <w:rsid w:val="002F5755"/>
    <w:rsid w:val="00301CE6"/>
    <w:rsid w:val="0030256B"/>
    <w:rsid w:val="00303D64"/>
    <w:rsid w:val="0030501F"/>
    <w:rsid w:val="00307BA1"/>
    <w:rsid w:val="00311702"/>
    <w:rsid w:val="003118FF"/>
    <w:rsid w:val="00311E82"/>
    <w:rsid w:val="0031362A"/>
    <w:rsid w:val="00313B59"/>
    <w:rsid w:val="00313F4F"/>
    <w:rsid w:val="00313FD6"/>
    <w:rsid w:val="003143BD"/>
    <w:rsid w:val="00315363"/>
    <w:rsid w:val="00316BEF"/>
    <w:rsid w:val="003203ED"/>
    <w:rsid w:val="003212D6"/>
    <w:rsid w:val="00322185"/>
    <w:rsid w:val="00322187"/>
    <w:rsid w:val="00322C9F"/>
    <w:rsid w:val="0032382C"/>
    <w:rsid w:val="00324D23"/>
    <w:rsid w:val="00326AF6"/>
    <w:rsid w:val="003308CF"/>
    <w:rsid w:val="00331751"/>
    <w:rsid w:val="003342F0"/>
    <w:rsid w:val="00334579"/>
    <w:rsid w:val="00334CC0"/>
    <w:rsid w:val="00335858"/>
    <w:rsid w:val="00336BDA"/>
    <w:rsid w:val="00342BD7"/>
    <w:rsid w:val="00346DB5"/>
    <w:rsid w:val="003477B1"/>
    <w:rsid w:val="00350747"/>
    <w:rsid w:val="00352500"/>
    <w:rsid w:val="0035271C"/>
    <w:rsid w:val="003551C2"/>
    <w:rsid w:val="00357380"/>
    <w:rsid w:val="00357806"/>
    <w:rsid w:val="00357B0D"/>
    <w:rsid w:val="003602D9"/>
    <w:rsid w:val="003604CE"/>
    <w:rsid w:val="00360BFB"/>
    <w:rsid w:val="0036416F"/>
    <w:rsid w:val="00370067"/>
    <w:rsid w:val="00370E47"/>
    <w:rsid w:val="00370F25"/>
    <w:rsid w:val="003742AC"/>
    <w:rsid w:val="0037443F"/>
    <w:rsid w:val="00374ABA"/>
    <w:rsid w:val="00377CE1"/>
    <w:rsid w:val="00385BF0"/>
    <w:rsid w:val="0039094C"/>
    <w:rsid w:val="00392526"/>
    <w:rsid w:val="003939FF"/>
    <w:rsid w:val="00397271"/>
    <w:rsid w:val="003A1BCD"/>
    <w:rsid w:val="003A21E2"/>
    <w:rsid w:val="003A2223"/>
    <w:rsid w:val="003A281B"/>
    <w:rsid w:val="003A2A0F"/>
    <w:rsid w:val="003A2B9F"/>
    <w:rsid w:val="003A45A1"/>
    <w:rsid w:val="003A4929"/>
    <w:rsid w:val="003A5B0A"/>
    <w:rsid w:val="003A6BAC"/>
    <w:rsid w:val="003A70A4"/>
    <w:rsid w:val="003A766A"/>
    <w:rsid w:val="003A7EF3"/>
    <w:rsid w:val="003B159C"/>
    <w:rsid w:val="003B369F"/>
    <w:rsid w:val="003B36A3"/>
    <w:rsid w:val="003B57F1"/>
    <w:rsid w:val="003B64BB"/>
    <w:rsid w:val="003B77C7"/>
    <w:rsid w:val="003B7FE5"/>
    <w:rsid w:val="003C11C8"/>
    <w:rsid w:val="003C20D7"/>
    <w:rsid w:val="003C2702"/>
    <w:rsid w:val="003C6B30"/>
    <w:rsid w:val="003C7806"/>
    <w:rsid w:val="003C7814"/>
    <w:rsid w:val="003D0B64"/>
    <w:rsid w:val="003D109F"/>
    <w:rsid w:val="003D2478"/>
    <w:rsid w:val="003D3C45"/>
    <w:rsid w:val="003D4C48"/>
    <w:rsid w:val="003D5B1F"/>
    <w:rsid w:val="003D737A"/>
    <w:rsid w:val="003D78D2"/>
    <w:rsid w:val="003D7C33"/>
    <w:rsid w:val="003D7CD1"/>
    <w:rsid w:val="003E092C"/>
    <w:rsid w:val="003E0B74"/>
    <w:rsid w:val="003E15FA"/>
    <w:rsid w:val="003E1E9A"/>
    <w:rsid w:val="003E4A1E"/>
    <w:rsid w:val="003E55E4"/>
    <w:rsid w:val="003E6476"/>
    <w:rsid w:val="003E67E8"/>
    <w:rsid w:val="003E74E3"/>
    <w:rsid w:val="003F05C7"/>
    <w:rsid w:val="003F27D1"/>
    <w:rsid w:val="003F2CD4"/>
    <w:rsid w:val="003F2D87"/>
    <w:rsid w:val="003F305C"/>
    <w:rsid w:val="003F5872"/>
    <w:rsid w:val="003F6BBE"/>
    <w:rsid w:val="004000E8"/>
    <w:rsid w:val="00402E2B"/>
    <w:rsid w:val="00404DAD"/>
    <w:rsid w:val="0040512B"/>
    <w:rsid w:val="00405CA5"/>
    <w:rsid w:val="00407CD3"/>
    <w:rsid w:val="00410134"/>
    <w:rsid w:val="00410B72"/>
    <w:rsid w:val="00410F18"/>
    <w:rsid w:val="0041263E"/>
    <w:rsid w:val="00413AAC"/>
    <w:rsid w:val="00413CE7"/>
    <w:rsid w:val="00413E92"/>
    <w:rsid w:val="00416169"/>
    <w:rsid w:val="00416222"/>
    <w:rsid w:val="0041663C"/>
    <w:rsid w:val="00420CED"/>
    <w:rsid w:val="00421105"/>
    <w:rsid w:val="004229D9"/>
    <w:rsid w:val="00422AA4"/>
    <w:rsid w:val="004242F4"/>
    <w:rsid w:val="00427248"/>
    <w:rsid w:val="00430C3F"/>
    <w:rsid w:val="00433538"/>
    <w:rsid w:val="00437447"/>
    <w:rsid w:val="00441A92"/>
    <w:rsid w:val="004431DC"/>
    <w:rsid w:val="004447E2"/>
    <w:rsid w:val="00444F56"/>
    <w:rsid w:val="00446488"/>
    <w:rsid w:val="004466AB"/>
    <w:rsid w:val="0044783A"/>
    <w:rsid w:val="00450D69"/>
    <w:rsid w:val="00451351"/>
    <w:rsid w:val="004517AA"/>
    <w:rsid w:val="00451AB0"/>
    <w:rsid w:val="00452CAC"/>
    <w:rsid w:val="004552EF"/>
    <w:rsid w:val="00456A9C"/>
    <w:rsid w:val="00457565"/>
    <w:rsid w:val="00457944"/>
    <w:rsid w:val="0045799C"/>
    <w:rsid w:val="00457B71"/>
    <w:rsid w:val="00460877"/>
    <w:rsid w:val="00461D09"/>
    <w:rsid w:val="00466798"/>
    <w:rsid w:val="004669E2"/>
    <w:rsid w:val="00470C31"/>
    <w:rsid w:val="00471DE0"/>
    <w:rsid w:val="004734D0"/>
    <w:rsid w:val="00474E7C"/>
    <w:rsid w:val="0047556B"/>
    <w:rsid w:val="00477768"/>
    <w:rsid w:val="00481C73"/>
    <w:rsid w:val="00485E45"/>
    <w:rsid w:val="0049015F"/>
    <w:rsid w:val="004923FF"/>
    <w:rsid w:val="00492BC5"/>
    <w:rsid w:val="004964F1"/>
    <w:rsid w:val="00497023"/>
    <w:rsid w:val="004A16BC"/>
    <w:rsid w:val="004A2B94"/>
    <w:rsid w:val="004A417B"/>
    <w:rsid w:val="004A65FF"/>
    <w:rsid w:val="004A7B6B"/>
    <w:rsid w:val="004B020C"/>
    <w:rsid w:val="004B228C"/>
    <w:rsid w:val="004B6F6A"/>
    <w:rsid w:val="004B79D1"/>
    <w:rsid w:val="004B7C0C"/>
    <w:rsid w:val="004C3898"/>
    <w:rsid w:val="004C401E"/>
    <w:rsid w:val="004C5CDE"/>
    <w:rsid w:val="004C6B33"/>
    <w:rsid w:val="004C6F5F"/>
    <w:rsid w:val="004D19E1"/>
    <w:rsid w:val="004D2126"/>
    <w:rsid w:val="004D36B1"/>
    <w:rsid w:val="004D4739"/>
    <w:rsid w:val="004D6725"/>
    <w:rsid w:val="004D7EBD"/>
    <w:rsid w:val="004E1592"/>
    <w:rsid w:val="004E2680"/>
    <w:rsid w:val="004E28F9"/>
    <w:rsid w:val="004E42C9"/>
    <w:rsid w:val="004E462E"/>
    <w:rsid w:val="004E56DC"/>
    <w:rsid w:val="004E5D8D"/>
    <w:rsid w:val="004E76F4"/>
    <w:rsid w:val="004E77CA"/>
    <w:rsid w:val="004E7D4B"/>
    <w:rsid w:val="004F0B4E"/>
    <w:rsid w:val="004F0B6C"/>
    <w:rsid w:val="004F2078"/>
    <w:rsid w:val="004F24D8"/>
    <w:rsid w:val="004F4978"/>
    <w:rsid w:val="004F4DA3"/>
    <w:rsid w:val="004F5941"/>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262DC"/>
    <w:rsid w:val="0053334B"/>
    <w:rsid w:val="00534B59"/>
    <w:rsid w:val="005360F9"/>
    <w:rsid w:val="00536759"/>
    <w:rsid w:val="00536E0C"/>
    <w:rsid w:val="005379CC"/>
    <w:rsid w:val="00537C62"/>
    <w:rsid w:val="00541417"/>
    <w:rsid w:val="0054141C"/>
    <w:rsid w:val="0054241E"/>
    <w:rsid w:val="00544D44"/>
    <w:rsid w:val="0054563F"/>
    <w:rsid w:val="00546970"/>
    <w:rsid w:val="00550115"/>
    <w:rsid w:val="00550919"/>
    <w:rsid w:val="00551644"/>
    <w:rsid w:val="0055306A"/>
    <w:rsid w:val="00554E19"/>
    <w:rsid w:val="005565C7"/>
    <w:rsid w:val="00557F2E"/>
    <w:rsid w:val="00560227"/>
    <w:rsid w:val="0056121F"/>
    <w:rsid w:val="00562A90"/>
    <w:rsid w:val="00565FFB"/>
    <w:rsid w:val="0056742D"/>
    <w:rsid w:val="00572505"/>
    <w:rsid w:val="00582809"/>
    <w:rsid w:val="00583709"/>
    <w:rsid w:val="00586A19"/>
    <w:rsid w:val="00587171"/>
    <w:rsid w:val="0058798C"/>
    <w:rsid w:val="005900FA"/>
    <w:rsid w:val="00590836"/>
    <w:rsid w:val="0059085C"/>
    <w:rsid w:val="00592655"/>
    <w:rsid w:val="005935A4"/>
    <w:rsid w:val="0059431D"/>
    <w:rsid w:val="005948C2"/>
    <w:rsid w:val="00595DCA"/>
    <w:rsid w:val="0059779B"/>
    <w:rsid w:val="005A209A"/>
    <w:rsid w:val="005A662D"/>
    <w:rsid w:val="005B09F7"/>
    <w:rsid w:val="005B1409"/>
    <w:rsid w:val="005B35D7"/>
    <w:rsid w:val="005B392A"/>
    <w:rsid w:val="005B3AA3"/>
    <w:rsid w:val="005B6F09"/>
    <w:rsid w:val="005B6F83"/>
    <w:rsid w:val="005B787C"/>
    <w:rsid w:val="005C024A"/>
    <w:rsid w:val="005C0275"/>
    <w:rsid w:val="005C07C8"/>
    <w:rsid w:val="005C425F"/>
    <w:rsid w:val="005C4ED2"/>
    <w:rsid w:val="005C4F3E"/>
    <w:rsid w:val="005C74FB"/>
    <w:rsid w:val="005C7F0D"/>
    <w:rsid w:val="005D0F19"/>
    <w:rsid w:val="005D1602"/>
    <w:rsid w:val="005D1C4D"/>
    <w:rsid w:val="005D25D1"/>
    <w:rsid w:val="005D3C19"/>
    <w:rsid w:val="005D4FDF"/>
    <w:rsid w:val="005D536C"/>
    <w:rsid w:val="005E385F"/>
    <w:rsid w:val="005E5632"/>
    <w:rsid w:val="005E5B81"/>
    <w:rsid w:val="005E7A1A"/>
    <w:rsid w:val="005F1345"/>
    <w:rsid w:val="005F2CB1"/>
    <w:rsid w:val="005F3025"/>
    <w:rsid w:val="005F34A0"/>
    <w:rsid w:val="005F618C"/>
    <w:rsid w:val="005F70BD"/>
    <w:rsid w:val="006025DD"/>
    <w:rsid w:val="006026C6"/>
    <w:rsid w:val="0060283C"/>
    <w:rsid w:val="00604F14"/>
    <w:rsid w:val="00605A30"/>
    <w:rsid w:val="006104E3"/>
    <w:rsid w:val="00611B83"/>
    <w:rsid w:val="00613257"/>
    <w:rsid w:val="006142FE"/>
    <w:rsid w:val="00614896"/>
    <w:rsid w:val="00614E33"/>
    <w:rsid w:val="0062014D"/>
    <w:rsid w:val="00620A71"/>
    <w:rsid w:val="00620D80"/>
    <w:rsid w:val="006234A6"/>
    <w:rsid w:val="0062704C"/>
    <w:rsid w:val="00630001"/>
    <w:rsid w:val="006311B3"/>
    <w:rsid w:val="00632827"/>
    <w:rsid w:val="0063284C"/>
    <w:rsid w:val="00633408"/>
    <w:rsid w:val="00636398"/>
    <w:rsid w:val="006368D3"/>
    <w:rsid w:val="006377EC"/>
    <w:rsid w:val="006407BF"/>
    <w:rsid w:val="0064151F"/>
    <w:rsid w:val="00641533"/>
    <w:rsid w:val="0064208D"/>
    <w:rsid w:val="006422FF"/>
    <w:rsid w:val="00643475"/>
    <w:rsid w:val="0064396A"/>
    <w:rsid w:val="0064624E"/>
    <w:rsid w:val="00647389"/>
    <w:rsid w:val="006500B6"/>
    <w:rsid w:val="00650AB9"/>
    <w:rsid w:val="00654DC4"/>
    <w:rsid w:val="00655733"/>
    <w:rsid w:val="00655ACD"/>
    <w:rsid w:val="00656353"/>
    <w:rsid w:val="00656A92"/>
    <w:rsid w:val="00656DDE"/>
    <w:rsid w:val="0066011D"/>
    <w:rsid w:val="006607C0"/>
    <w:rsid w:val="006613A6"/>
    <w:rsid w:val="006619C4"/>
    <w:rsid w:val="006625F5"/>
    <w:rsid w:val="006627A2"/>
    <w:rsid w:val="006634E6"/>
    <w:rsid w:val="006655EE"/>
    <w:rsid w:val="006661D7"/>
    <w:rsid w:val="00667EE7"/>
    <w:rsid w:val="00670922"/>
    <w:rsid w:val="00670BE1"/>
    <w:rsid w:val="0067218F"/>
    <w:rsid w:val="006741F2"/>
    <w:rsid w:val="00674CC3"/>
    <w:rsid w:val="00675C72"/>
    <w:rsid w:val="006771F9"/>
    <w:rsid w:val="00677615"/>
    <w:rsid w:val="006776D7"/>
    <w:rsid w:val="00681003"/>
    <w:rsid w:val="006817C9"/>
    <w:rsid w:val="00682491"/>
    <w:rsid w:val="00683ECE"/>
    <w:rsid w:val="00691740"/>
    <w:rsid w:val="00695FC2"/>
    <w:rsid w:val="00696949"/>
    <w:rsid w:val="00696A4F"/>
    <w:rsid w:val="00697052"/>
    <w:rsid w:val="006A20C2"/>
    <w:rsid w:val="006A2ED7"/>
    <w:rsid w:val="006A3848"/>
    <w:rsid w:val="006A3D9A"/>
    <w:rsid w:val="006A46FB"/>
    <w:rsid w:val="006A5A3D"/>
    <w:rsid w:val="006A5E28"/>
    <w:rsid w:val="006A697B"/>
    <w:rsid w:val="006A7AFF"/>
    <w:rsid w:val="006B1816"/>
    <w:rsid w:val="006B2099"/>
    <w:rsid w:val="006B5083"/>
    <w:rsid w:val="006B50CF"/>
    <w:rsid w:val="006C03B8"/>
    <w:rsid w:val="006C1C20"/>
    <w:rsid w:val="006C1C7B"/>
    <w:rsid w:val="006C5EC9"/>
    <w:rsid w:val="006C6059"/>
    <w:rsid w:val="006C7522"/>
    <w:rsid w:val="006D2580"/>
    <w:rsid w:val="006D30C0"/>
    <w:rsid w:val="006D320E"/>
    <w:rsid w:val="006D6F08"/>
    <w:rsid w:val="006D7953"/>
    <w:rsid w:val="006E062C"/>
    <w:rsid w:val="006E08DF"/>
    <w:rsid w:val="006E1C82"/>
    <w:rsid w:val="006E28B7"/>
    <w:rsid w:val="006E2A9B"/>
    <w:rsid w:val="006E3310"/>
    <w:rsid w:val="006E36A1"/>
    <w:rsid w:val="006E4E39"/>
    <w:rsid w:val="006E565E"/>
    <w:rsid w:val="006E5C09"/>
    <w:rsid w:val="006E673D"/>
    <w:rsid w:val="006E6824"/>
    <w:rsid w:val="006E7D3B"/>
    <w:rsid w:val="006F1B70"/>
    <w:rsid w:val="006F341D"/>
    <w:rsid w:val="006F3CDE"/>
    <w:rsid w:val="006F3E16"/>
    <w:rsid w:val="006F58D4"/>
    <w:rsid w:val="006F6582"/>
    <w:rsid w:val="00701D4A"/>
    <w:rsid w:val="007031AE"/>
    <w:rsid w:val="0070346E"/>
    <w:rsid w:val="00704EDB"/>
    <w:rsid w:val="00706101"/>
    <w:rsid w:val="00706132"/>
    <w:rsid w:val="00707072"/>
    <w:rsid w:val="00707D61"/>
    <w:rsid w:val="007117E3"/>
    <w:rsid w:val="00712287"/>
    <w:rsid w:val="00712772"/>
    <w:rsid w:val="007140E5"/>
    <w:rsid w:val="007148D3"/>
    <w:rsid w:val="00715B9A"/>
    <w:rsid w:val="00715EB1"/>
    <w:rsid w:val="007171CB"/>
    <w:rsid w:val="00717CA6"/>
    <w:rsid w:val="007234F1"/>
    <w:rsid w:val="00725422"/>
    <w:rsid w:val="007257D0"/>
    <w:rsid w:val="0072603B"/>
    <w:rsid w:val="00726EA6"/>
    <w:rsid w:val="00727208"/>
    <w:rsid w:val="007272AE"/>
    <w:rsid w:val="00727680"/>
    <w:rsid w:val="0073313D"/>
    <w:rsid w:val="00733C4D"/>
    <w:rsid w:val="00733FD0"/>
    <w:rsid w:val="007348B1"/>
    <w:rsid w:val="007362A6"/>
    <w:rsid w:val="00736411"/>
    <w:rsid w:val="00736D7D"/>
    <w:rsid w:val="00737468"/>
    <w:rsid w:val="00740E58"/>
    <w:rsid w:val="007435F5"/>
    <w:rsid w:val="007445A0"/>
    <w:rsid w:val="0074524B"/>
    <w:rsid w:val="00747D8B"/>
    <w:rsid w:val="00751228"/>
    <w:rsid w:val="00752E43"/>
    <w:rsid w:val="007571E1"/>
    <w:rsid w:val="00757D90"/>
    <w:rsid w:val="007604B2"/>
    <w:rsid w:val="007610F5"/>
    <w:rsid w:val="0076143E"/>
    <w:rsid w:val="00765281"/>
    <w:rsid w:val="00765C5F"/>
    <w:rsid w:val="00766BAD"/>
    <w:rsid w:val="00770D10"/>
    <w:rsid w:val="007729A2"/>
    <w:rsid w:val="007755F2"/>
    <w:rsid w:val="00776971"/>
    <w:rsid w:val="00776A0C"/>
    <w:rsid w:val="00780A80"/>
    <w:rsid w:val="0078177E"/>
    <w:rsid w:val="0078304C"/>
    <w:rsid w:val="00783673"/>
    <w:rsid w:val="00785490"/>
    <w:rsid w:val="007867C0"/>
    <w:rsid w:val="00791833"/>
    <w:rsid w:val="007925EA"/>
    <w:rsid w:val="00793485"/>
    <w:rsid w:val="00793CD8"/>
    <w:rsid w:val="00795C92"/>
    <w:rsid w:val="00796231"/>
    <w:rsid w:val="007962CB"/>
    <w:rsid w:val="00796956"/>
    <w:rsid w:val="007A1CB3"/>
    <w:rsid w:val="007A306F"/>
    <w:rsid w:val="007A43A6"/>
    <w:rsid w:val="007A58A6"/>
    <w:rsid w:val="007B220A"/>
    <w:rsid w:val="007B3D2D"/>
    <w:rsid w:val="007B50AE"/>
    <w:rsid w:val="007B51DF"/>
    <w:rsid w:val="007C05DD"/>
    <w:rsid w:val="007C1112"/>
    <w:rsid w:val="007C3D18"/>
    <w:rsid w:val="007C60BF"/>
    <w:rsid w:val="007C6A07"/>
    <w:rsid w:val="007C75A1"/>
    <w:rsid w:val="007C77A5"/>
    <w:rsid w:val="007D0416"/>
    <w:rsid w:val="007D04E5"/>
    <w:rsid w:val="007D078F"/>
    <w:rsid w:val="007D3DDC"/>
    <w:rsid w:val="007D5901"/>
    <w:rsid w:val="007D7526"/>
    <w:rsid w:val="007D754C"/>
    <w:rsid w:val="007D7B9D"/>
    <w:rsid w:val="007E1C66"/>
    <w:rsid w:val="007E2332"/>
    <w:rsid w:val="007E25EA"/>
    <w:rsid w:val="007E4610"/>
    <w:rsid w:val="007E4715"/>
    <w:rsid w:val="007E505B"/>
    <w:rsid w:val="007E5A29"/>
    <w:rsid w:val="007E7091"/>
    <w:rsid w:val="007F3220"/>
    <w:rsid w:val="007F53E7"/>
    <w:rsid w:val="007F6ADA"/>
    <w:rsid w:val="00802192"/>
    <w:rsid w:val="00803FAE"/>
    <w:rsid w:val="00805D71"/>
    <w:rsid w:val="0080605F"/>
    <w:rsid w:val="00807786"/>
    <w:rsid w:val="00811FCB"/>
    <w:rsid w:val="0081328B"/>
    <w:rsid w:val="00814006"/>
    <w:rsid w:val="00815161"/>
    <w:rsid w:val="008158D6"/>
    <w:rsid w:val="0081618A"/>
    <w:rsid w:val="00817196"/>
    <w:rsid w:val="008228B7"/>
    <w:rsid w:val="008235DB"/>
    <w:rsid w:val="0082438E"/>
    <w:rsid w:val="00824AB4"/>
    <w:rsid w:val="00825C42"/>
    <w:rsid w:val="00825D25"/>
    <w:rsid w:val="00826938"/>
    <w:rsid w:val="00826BCE"/>
    <w:rsid w:val="00827D6F"/>
    <w:rsid w:val="00833B02"/>
    <w:rsid w:val="00835770"/>
    <w:rsid w:val="00835F34"/>
    <w:rsid w:val="008370BB"/>
    <w:rsid w:val="008376AC"/>
    <w:rsid w:val="00840B74"/>
    <w:rsid w:val="00841089"/>
    <w:rsid w:val="00843099"/>
    <w:rsid w:val="0084348F"/>
    <w:rsid w:val="008444E8"/>
    <w:rsid w:val="00844E80"/>
    <w:rsid w:val="00846B0D"/>
    <w:rsid w:val="00846FE7"/>
    <w:rsid w:val="00851CFA"/>
    <w:rsid w:val="00852E3F"/>
    <w:rsid w:val="00855382"/>
    <w:rsid w:val="008561EE"/>
    <w:rsid w:val="00856911"/>
    <w:rsid w:val="0086049E"/>
    <w:rsid w:val="00865799"/>
    <w:rsid w:val="008677FD"/>
    <w:rsid w:val="008706D4"/>
    <w:rsid w:val="00870F8A"/>
    <w:rsid w:val="008719A4"/>
    <w:rsid w:val="00871D23"/>
    <w:rsid w:val="008726B1"/>
    <w:rsid w:val="00874312"/>
    <w:rsid w:val="0087437C"/>
    <w:rsid w:val="00875CD7"/>
    <w:rsid w:val="00876B2B"/>
    <w:rsid w:val="00876B4D"/>
    <w:rsid w:val="00876F21"/>
    <w:rsid w:val="00877F18"/>
    <w:rsid w:val="008828A2"/>
    <w:rsid w:val="00883350"/>
    <w:rsid w:val="0088353A"/>
    <w:rsid w:val="00883785"/>
    <w:rsid w:val="00886E66"/>
    <w:rsid w:val="00887F83"/>
    <w:rsid w:val="008930A5"/>
    <w:rsid w:val="008941E3"/>
    <w:rsid w:val="00894A88"/>
    <w:rsid w:val="00895386"/>
    <w:rsid w:val="00896870"/>
    <w:rsid w:val="0089763B"/>
    <w:rsid w:val="008977C4"/>
    <w:rsid w:val="008A21FF"/>
    <w:rsid w:val="008A2CE2"/>
    <w:rsid w:val="008A30AC"/>
    <w:rsid w:val="008A3900"/>
    <w:rsid w:val="008A44B8"/>
    <w:rsid w:val="008A51A8"/>
    <w:rsid w:val="008A54C7"/>
    <w:rsid w:val="008A54FE"/>
    <w:rsid w:val="008A6343"/>
    <w:rsid w:val="008A77D8"/>
    <w:rsid w:val="008B0483"/>
    <w:rsid w:val="008B120C"/>
    <w:rsid w:val="008B3EC7"/>
    <w:rsid w:val="008B4AAC"/>
    <w:rsid w:val="008B51A0"/>
    <w:rsid w:val="008B592A"/>
    <w:rsid w:val="008B6BD0"/>
    <w:rsid w:val="008B6C82"/>
    <w:rsid w:val="008B7B5C"/>
    <w:rsid w:val="008C0C99"/>
    <w:rsid w:val="008C2017"/>
    <w:rsid w:val="008C2250"/>
    <w:rsid w:val="008C3E1C"/>
    <w:rsid w:val="008C4958"/>
    <w:rsid w:val="008C4BAA"/>
    <w:rsid w:val="008C4C02"/>
    <w:rsid w:val="008C4F6F"/>
    <w:rsid w:val="008C59CA"/>
    <w:rsid w:val="008C6AE8"/>
    <w:rsid w:val="008C6D9D"/>
    <w:rsid w:val="008C7573"/>
    <w:rsid w:val="008D00A5"/>
    <w:rsid w:val="008D346A"/>
    <w:rsid w:val="008D34F1"/>
    <w:rsid w:val="008D383A"/>
    <w:rsid w:val="008D39D8"/>
    <w:rsid w:val="008D5229"/>
    <w:rsid w:val="008D6D1A"/>
    <w:rsid w:val="008D7D4C"/>
    <w:rsid w:val="008E065E"/>
    <w:rsid w:val="008E0927"/>
    <w:rsid w:val="008E1909"/>
    <w:rsid w:val="008E7E02"/>
    <w:rsid w:val="008F1C4E"/>
    <w:rsid w:val="008F1EAB"/>
    <w:rsid w:val="008F334B"/>
    <w:rsid w:val="008F33DC"/>
    <w:rsid w:val="008F3E9A"/>
    <w:rsid w:val="008F477F"/>
    <w:rsid w:val="008F4B54"/>
    <w:rsid w:val="008F4EBC"/>
    <w:rsid w:val="008F7187"/>
    <w:rsid w:val="00902350"/>
    <w:rsid w:val="00902CAF"/>
    <w:rsid w:val="0090336B"/>
    <w:rsid w:val="00904DFD"/>
    <w:rsid w:val="009053AA"/>
    <w:rsid w:val="00906939"/>
    <w:rsid w:val="00910B7D"/>
    <w:rsid w:val="00911DFB"/>
    <w:rsid w:val="009139D9"/>
    <w:rsid w:val="00914AD8"/>
    <w:rsid w:val="00916079"/>
    <w:rsid w:val="00917CE9"/>
    <w:rsid w:val="00920BF2"/>
    <w:rsid w:val="00921463"/>
    <w:rsid w:val="00922010"/>
    <w:rsid w:val="00925BA0"/>
    <w:rsid w:val="00926CA2"/>
    <w:rsid w:val="00926E1E"/>
    <w:rsid w:val="00930B3F"/>
    <w:rsid w:val="00930E0D"/>
    <w:rsid w:val="00931BD9"/>
    <w:rsid w:val="00933745"/>
    <w:rsid w:val="009368F3"/>
    <w:rsid w:val="00941636"/>
    <w:rsid w:val="00943742"/>
    <w:rsid w:val="00944C93"/>
    <w:rsid w:val="00945C05"/>
    <w:rsid w:val="00946945"/>
    <w:rsid w:val="00947713"/>
    <w:rsid w:val="00950DE7"/>
    <w:rsid w:val="00953920"/>
    <w:rsid w:val="00953D47"/>
    <w:rsid w:val="00955BFF"/>
    <w:rsid w:val="0095681E"/>
    <w:rsid w:val="009572D4"/>
    <w:rsid w:val="00957C66"/>
    <w:rsid w:val="009605AB"/>
    <w:rsid w:val="00960C2E"/>
    <w:rsid w:val="00961921"/>
    <w:rsid w:val="009625F8"/>
    <w:rsid w:val="00963500"/>
    <w:rsid w:val="009635B1"/>
    <w:rsid w:val="00963FFC"/>
    <w:rsid w:val="0096430A"/>
    <w:rsid w:val="0096554B"/>
    <w:rsid w:val="0096584A"/>
    <w:rsid w:val="009708A7"/>
    <w:rsid w:val="009712F5"/>
    <w:rsid w:val="00971F08"/>
    <w:rsid w:val="0097375E"/>
    <w:rsid w:val="0097603D"/>
    <w:rsid w:val="00976949"/>
    <w:rsid w:val="00977D3E"/>
    <w:rsid w:val="00980369"/>
    <w:rsid w:val="00980477"/>
    <w:rsid w:val="00985253"/>
    <w:rsid w:val="009853B3"/>
    <w:rsid w:val="00985AF9"/>
    <w:rsid w:val="00987A1F"/>
    <w:rsid w:val="00990630"/>
    <w:rsid w:val="009916D9"/>
    <w:rsid w:val="00991761"/>
    <w:rsid w:val="00993B96"/>
    <w:rsid w:val="00994DCA"/>
    <w:rsid w:val="00994F2F"/>
    <w:rsid w:val="009960EC"/>
    <w:rsid w:val="009970DD"/>
    <w:rsid w:val="009A0FBA"/>
    <w:rsid w:val="009A1601"/>
    <w:rsid w:val="009A375C"/>
    <w:rsid w:val="009A3BB6"/>
    <w:rsid w:val="009A462D"/>
    <w:rsid w:val="009A5CBA"/>
    <w:rsid w:val="009B1F30"/>
    <w:rsid w:val="009B1F94"/>
    <w:rsid w:val="009B2D8E"/>
    <w:rsid w:val="009B3AC2"/>
    <w:rsid w:val="009B3AF1"/>
    <w:rsid w:val="009B4DF4"/>
    <w:rsid w:val="009B564E"/>
    <w:rsid w:val="009B7E87"/>
    <w:rsid w:val="009C0169"/>
    <w:rsid w:val="009C403E"/>
    <w:rsid w:val="009D0394"/>
    <w:rsid w:val="009D4FF0"/>
    <w:rsid w:val="009D703C"/>
    <w:rsid w:val="009D718F"/>
    <w:rsid w:val="009D7413"/>
    <w:rsid w:val="009E068F"/>
    <w:rsid w:val="009E14E0"/>
    <w:rsid w:val="009E28FF"/>
    <w:rsid w:val="009E35DB"/>
    <w:rsid w:val="009E47A3"/>
    <w:rsid w:val="009E535A"/>
    <w:rsid w:val="009E71EE"/>
    <w:rsid w:val="009F06A5"/>
    <w:rsid w:val="009F08F3"/>
    <w:rsid w:val="009F0BD5"/>
    <w:rsid w:val="009F1C18"/>
    <w:rsid w:val="009F344F"/>
    <w:rsid w:val="00A0104A"/>
    <w:rsid w:val="00A02A3C"/>
    <w:rsid w:val="00A02AD4"/>
    <w:rsid w:val="00A031D8"/>
    <w:rsid w:val="00A048A8"/>
    <w:rsid w:val="00A04F49"/>
    <w:rsid w:val="00A106D1"/>
    <w:rsid w:val="00A11F28"/>
    <w:rsid w:val="00A1311D"/>
    <w:rsid w:val="00A13E54"/>
    <w:rsid w:val="00A1400F"/>
    <w:rsid w:val="00A141B3"/>
    <w:rsid w:val="00A149EF"/>
    <w:rsid w:val="00A17E88"/>
    <w:rsid w:val="00A17F63"/>
    <w:rsid w:val="00A2012F"/>
    <w:rsid w:val="00A2193B"/>
    <w:rsid w:val="00A2268A"/>
    <w:rsid w:val="00A229ED"/>
    <w:rsid w:val="00A2351A"/>
    <w:rsid w:val="00A250DE"/>
    <w:rsid w:val="00A264A9"/>
    <w:rsid w:val="00A26DCF"/>
    <w:rsid w:val="00A27361"/>
    <w:rsid w:val="00A27785"/>
    <w:rsid w:val="00A30187"/>
    <w:rsid w:val="00A30334"/>
    <w:rsid w:val="00A30DCD"/>
    <w:rsid w:val="00A33CA6"/>
    <w:rsid w:val="00A34377"/>
    <w:rsid w:val="00A3448A"/>
    <w:rsid w:val="00A36297"/>
    <w:rsid w:val="00A36596"/>
    <w:rsid w:val="00A37A93"/>
    <w:rsid w:val="00A4008C"/>
    <w:rsid w:val="00A40170"/>
    <w:rsid w:val="00A40E9A"/>
    <w:rsid w:val="00A41E2B"/>
    <w:rsid w:val="00A41F05"/>
    <w:rsid w:val="00A4213D"/>
    <w:rsid w:val="00A4216A"/>
    <w:rsid w:val="00A45B74"/>
    <w:rsid w:val="00A529F5"/>
    <w:rsid w:val="00A52E1D"/>
    <w:rsid w:val="00A5343C"/>
    <w:rsid w:val="00A53989"/>
    <w:rsid w:val="00A54296"/>
    <w:rsid w:val="00A61499"/>
    <w:rsid w:val="00A62A77"/>
    <w:rsid w:val="00A62C0F"/>
    <w:rsid w:val="00A6320E"/>
    <w:rsid w:val="00A63483"/>
    <w:rsid w:val="00A657D7"/>
    <w:rsid w:val="00A660AC"/>
    <w:rsid w:val="00A67E6C"/>
    <w:rsid w:val="00A71B99"/>
    <w:rsid w:val="00A739D0"/>
    <w:rsid w:val="00A761D4"/>
    <w:rsid w:val="00A77EC4"/>
    <w:rsid w:val="00A84BB2"/>
    <w:rsid w:val="00A8589C"/>
    <w:rsid w:val="00A85931"/>
    <w:rsid w:val="00A865AE"/>
    <w:rsid w:val="00A90AAE"/>
    <w:rsid w:val="00A92879"/>
    <w:rsid w:val="00A93299"/>
    <w:rsid w:val="00A93B59"/>
    <w:rsid w:val="00A9442A"/>
    <w:rsid w:val="00A947D9"/>
    <w:rsid w:val="00A95D4D"/>
    <w:rsid w:val="00AA016F"/>
    <w:rsid w:val="00AA122E"/>
    <w:rsid w:val="00AA1ED6"/>
    <w:rsid w:val="00AA51D6"/>
    <w:rsid w:val="00AB0BC8"/>
    <w:rsid w:val="00AB11CA"/>
    <w:rsid w:val="00AB14D9"/>
    <w:rsid w:val="00AB21C0"/>
    <w:rsid w:val="00AB21D7"/>
    <w:rsid w:val="00AB4AB8"/>
    <w:rsid w:val="00AB4D8E"/>
    <w:rsid w:val="00AB655E"/>
    <w:rsid w:val="00AB7BC8"/>
    <w:rsid w:val="00AC007F"/>
    <w:rsid w:val="00AC1434"/>
    <w:rsid w:val="00AC2546"/>
    <w:rsid w:val="00AC2ECD"/>
    <w:rsid w:val="00AC3119"/>
    <w:rsid w:val="00AC49FB"/>
    <w:rsid w:val="00AC5A10"/>
    <w:rsid w:val="00AC6B33"/>
    <w:rsid w:val="00AC7032"/>
    <w:rsid w:val="00AC7A9B"/>
    <w:rsid w:val="00AC7C47"/>
    <w:rsid w:val="00AD074C"/>
    <w:rsid w:val="00AD079A"/>
    <w:rsid w:val="00AD0AA3"/>
    <w:rsid w:val="00AD2ED0"/>
    <w:rsid w:val="00AD2F9E"/>
    <w:rsid w:val="00AD3F94"/>
    <w:rsid w:val="00AD4A5A"/>
    <w:rsid w:val="00AD4B6A"/>
    <w:rsid w:val="00AD5163"/>
    <w:rsid w:val="00AD5D98"/>
    <w:rsid w:val="00AE27AC"/>
    <w:rsid w:val="00AE40E0"/>
    <w:rsid w:val="00AE4DBA"/>
    <w:rsid w:val="00AE4F07"/>
    <w:rsid w:val="00AE5868"/>
    <w:rsid w:val="00AE59AE"/>
    <w:rsid w:val="00AF1C5D"/>
    <w:rsid w:val="00AF2EE3"/>
    <w:rsid w:val="00AF42D7"/>
    <w:rsid w:val="00B006FE"/>
    <w:rsid w:val="00B007CB"/>
    <w:rsid w:val="00B02609"/>
    <w:rsid w:val="00B02AA9"/>
    <w:rsid w:val="00B02FA3"/>
    <w:rsid w:val="00B039D8"/>
    <w:rsid w:val="00B05084"/>
    <w:rsid w:val="00B05186"/>
    <w:rsid w:val="00B05B1D"/>
    <w:rsid w:val="00B05C6A"/>
    <w:rsid w:val="00B076E0"/>
    <w:rsid w:val="00B1149F"/>
    <w:rsid w:val="00B14120"/>
    <w:rsid w:val="00B157F9"/>
    <w:rsid w:val="00B17803"/>
    <w:rsid w:val="00B20256"/>
    <w:rsid w:val="00B20D09"/>
    <w:rsid w:val="00B2655F"/>
    <w:rsid w:val="00B2763F"/>
    <w:rsid w:val="00B27AAC"/>
    <w:rsid w:val="00B30929"/>
    <w:rsid w:val="00B30DF3"/>
    <w:rsid w:val="00B32AEF"/>
    <w:rsid w:val="00B33EAE"/>
    <w:rsid w:val="00B35B0E"/>
    <w:rsid w:val="00B36A7A"/>
    <w:rsid w:val="00B36F3D"/>
    <w:rsid w:val="00B372AA"/>
    <w:rsid w:val="00B3738A"/>
    <w:rsid w:val="00B3791E"/>
    <w:rsid w:val="00B40445"/>
    <w:rsid w:val="00B405C9"/>
    <w:rsid w:val="00B409E0"/>
    <w:rsid w:val="00B40FC3"/>
    <w:rsid w:val="00B41435"/>
    <w:rsid w:val="00B41888"/>
    <w:rsid w:val="00B457AE"/>
    <w:rsid w:val="00B45A52"/>
    <w:rsid w:val="00B45BF8"/>
    <w:rsid w:val="00B45E11"/>
    <w:rsid w:val="00B46175"/>
    <w:rsid w:val="00B50864"/>
    <w:rsid w:val="00B53A10"/>
    <w:rsid w:val="00B54296"/>
    <w:rsid w:val="00B548B7"/>
    <w:rsid w:val="00B567B0"/>
    <w:rsid w:val="00B57515"/>
    <w:rsid w:val="00B602D6"/>
    <w:rsid w:val="00B62490"/>
    <w:rsid w:val="00B626C7"/>
    <w:rsid w:val="00B628AD"/>
    <w:rsid w:val="00B664C7"/>
    <w:rsid w:val="00B674D3"/>
    <w:rsid w:val="00B71C8E"/>
    <w:rsid w:val="00B739F6"/>
    <w:rsid w:val="00B74756"/>
    <w:rsid w:val="00B7783A"/>
    <w:rsid w:val="00B8106C"/>
    <w:rsid w:val="00B81A6C"/>
    <w:rsid w:val="00B81A86"/>
    <w:rsid w:val="00B82F2B"/>
    <w:rsid w:val="00B83F10"/>
    <w:rsid w:val="00B85DE5"/>
    <w:rsid w:val="00B86125"/>
    <w:rsid w:val="00B90F73"/>
    <w:rsid w:val="00B93B59"/>
    <w:rsid w:val="00B9406A"/>
    <w:rsid w:val="00B949A5"/>
    <w:rsid w:val="00B97B5A"/>
    <w:rsid w:val="00BA2280"/>
    <w:rsid w:val="00BA2539"/>
    <w:rsid w:val="00BA2A08"/>
    <w:rsid w:val="00BA434A"/>
    <w:rsid w:val="00BA4778"/>
    <w:rsid w:val="00BA4A1E"/>
    <w:rsid w:val="00BA56D2"/>
    <w:rsid w:val="00BA6F97"/>
    <w:rsid w:val="00BA76E0"/>
    <w:rsid w:val="00BB2A25"/>
    <w:rsid w:val="00BB40FF"/>
    <w:rsid w:val="00BB51E9"/>
    <w:rsid w:val="00BB64BD"/>
    <w:rsid w:val="00BB7569"/>
    <w:rsid w:val="00BC0101"/>
    <w:rsid w:val="00BC0FDC"/>
    <w:rsid w:val="00BC3053"/>
    <w:rsid w:val="00BC4D2E"/>
    <w:rsid w:val="00BC62C0"/>
    <w:rsid w:val="00BD3218"/>
    <w:rsid w:val="00BD48AC"/>
    <w:rsid w:val="00BD508A"/>
    <w:rsid w:val="00BD5F1A"/>
    <w:rsid w:val="00BE1234"/>
    <w:rsid w:val="00BE16B6"/>
    <w:rsid w:val="00BE2FA6"/>
    <w:rsid w:val="00BE333F"/>
    <w:rsid w:val="00BE3B4E"/>
    <w:rsid w:val="00BE42E9"/>
    <w:rsid w:val="00BE6931"/>
    <w:rsid w:val="00BE7406"/>
    <w:rsid w:val="00BE7603"/>
    <w:rsid w:val="00BF03E8"/>
    <w:rsid w:val="00BF1823"/>
    <w:rsid w:val="00BF3279"/>
    <w:rsid w:val="00BF74C7"/>
    <w:rsid w:val="00C015F1"/>
    <w:rsid w:val="00C01F33"/>
    <w:rsid w:val="00C02CC6"/>
    <w:rsid w:val="00C040F7"/>
    <w:rsid w:val="00C044AB"/>
    <w:rsid w:val="00C05706"/>
    <w:rsid w:val="00C0719F"/>
    <w:rsid w:val="00C07377"/>
    <w:rsid w:val="00C10478"/>
    <w:rsid w:val="00C12107"/>
    <w:rsid w:val="00C14A85"/>
    <w:rsid w:val="00C14D4B"/>
    <w:rsid w:val="00C154BB"/>
    <w:rsid w:val="00C178A6"/>
    <w:rsid w:val="00C17EDA"/>
    <w:rsid w:val="00C21261"/>
    <w:rsid w:val="00C25467"/>
    <w:rsid w:val="00C2709C"/>
    <w:rsid w:val="00C279B5"/>
    <w:rsid w:val="00C27C45"/>
    <w:rsid w:val="00C36D54"/>
    <w:rsid w:val="00C3719D"/>
    <w:rsid w:val="00C37CB2"/>
    <w:rsid w:val="00C4316F"/>
    <w:rsid w:val="00C473A5"/>
    <w:rsid w:val="00C5419E"/>
    <w:rsid w:val="00C54995"/>
    <w:rsid w:val="00C54B41"/>
    <w:rsid w:val="00C54D41"/>
    <w:rsid w:val="00C55782"/>
    <w:rsid w:val="00C60093"/>
    <w:rsid w:val="00C6029D"/>
    <w:rsid w:val="00C60783"/>
    <w:rsid w:val="00C624C8"/>
    <w:rsid w:val="00C63CC5"/>
    <w:rsid w:val="00C64672"/>
    <w:rsid w:val="00C6763B"/>
    <w:rsid w:val="00C70397"/>
    <w:rsid w:val="00C70697"/>
    <w:rsid w:val="00C72093"/>
    <w:rsid w:val="00C72EF4"/>
    <w:rsid w:val="00C7315A"/>
    <w:rsid w:val="00C744FE"/>
    <w:rsid w:val="00C7452B"/>
    <w:rsid w:val="00C75D2F"/>
    <w:rsid w:val="00C767BE"/>
    <w:rsid w:val="00C76E3C"/>
    <w:rsid w:val="00C76E89"/>
    <w:rsid w:val="00C81568"/>
    <w:rsid w:val="00C82CCF"/>
    <w:rsid w:val="00C836D8"/>
    <w:rsid w:val="00C9027A"/>
    <w:rsid w:val="00C9068E"/>
    <w:rsid w:val="00C91CB1"/>
    <w:rsid w:val="00C92431"/>
    <w:rsid w:val="00C93814"/>
    <w:rsid w:val="00C93C4B"/>
    <w:rsid w:val="00C9449D"/>
    <w:rsid w:val="00C944AB"/>
    <w:rsid w:val="00C95B40"/>
    <w:rsid w:val="00C97EBF"/>
    <w:rsid w:val="00CA0009"/>
    <w:rsid w:val="00CA0D3A"/>
    <w:rsid w:val="00CA0E56"/>
    <w:rsid w:val="00CA1ED8"/>
    <w:rsid w:val="00CA779C"/>
    <w:rsid w:val="00CB1205"/>
    <w:rsid w:val="00CB1F63"/>
    <w:rsid w:val="00CB382F"/>
    <w:rsid w:val="00CB3AFC"/>
    <w:rsid w:val="00CB7170"/>
    <w:rsid w:val="00CC040E"/>
    <w:rsid w:val="00CC111F"/>
    <w:rsid w:val="00CC2011"/>
    <w:rsid w:val="00CC3EA0"/>
    <w:rsid w:val="00CC7B45"/>
    <w:rsid w:val="00CD0448"/>
    <w:rsid w:val="00CD1188"/>
    <w:rsid w:val="00CD24CA"/>
    <w:rsid w:val="00CD2ED1"/>
    <w:rsid w:val="00CD337B"/>
    <w:rsid w:val="00CD4129"/>
    <w:rsid w:val="00CD5162"/>
    <w:rsid w:val="00CE0424"/>
    <w:rsid w:val="00CE0BF7"/>
    <w:rsid w:val="00CE45CD"/>
    <w:rsid w:val="00CE50CF"/>
    <w:rsid w:val="00CE7561"/>
    <w:rsid w:val="00CE7EE4"/>
    <w:rsid w:val="00CF08A4"/>
    <w:rsid w:val="00CF1354"/>
    <w:rsid w:val="00CF1EA4"/>
    <w:rsid w:val="00CF1EC1"/>
    <w:rsid w:val="00CF3B1F"/>
    <w:rsid w:val="00CF3B69"/>
    <w:rsid w:val="00CF3BF6"/>
    <w:rsid w:val="00CF3F81"/>
    <w:rsid w:val="00CF47E8"/>
    <w:rsid w:val="00CF625B"/>
    <w:rsid w:val="00CF687E"/>
    <w:rsid w:val="00CF7CA4"/>
    <w:rsid w:val="00D0256F"/>
    <w:rsid w:val="00D0349B"/>
    <w:rsid w:val="00D03922"/>
    <w:rsid w:val="00D10249"/>
    <w:rsid w:val="00D115C3"/>
    <w:rsid w:val="00D11897"/>
    <w:rsid w:val="00D12B9D"/>
    <w:rsid w:val="00D13135"/>
    <w:rsid w:val="00D133AF"/>
    <w:rsid w:val="00D13E4E"/>
    <w:rsid w:val="00D14C30"/>
    <w:rsid w:val="00D1534B"/>
    <w:rsid w:val="00D16E23"/>
    <w:rsid w:val="00D20B95"/>
    <w:rsid w:val="00D21882"/>
    <w:rsid w:val="00D232A9"/>
    <w:rsid w:val="00D239A7"/>
    <w:rsid w:val="00D23F47"/>
    <w:rsid w:val="00D246D1"/>
    <w:rsid w:val="00D252F0"/>
    <w:rsid w:val="00D308C9"/>
    <w:rsid w:val="00D3341B"/>
    <w:rsid w:val="00D36925"/>
    <w:rsid w:val="00D36E71"/>
    <w:rsid w:val="00D37D87"/>
    <w:rsid w:val="00D40B33"/>
    <w:rsid w:val="00D4318F"/>
    <w:rsid w:val="00D438BF"/>
    <w:rsid w:val="00D440F8"/>
    <w:rsid w:val="00D44431"/>
    <w:rsid w:val="00D47F23"/>
    <w:rsid w:val="00D50AA0"/>
    <w:rsid w:val="00D527FB"/>
    <w:rsid w:val="00D546FF"/>
    <w:rsid w:val="00D55AD5"/>
    <w:rsid w:val="00D55FD1"/>
    <w:rsid w:val="00D561B2"/>
    <w:rsid w:val="00D576CA"/>
    <w:rsid w:val="00D61AF5"/>
    <w:rsid w:val="00D6223C"/>
    <w:rsid w:val="00D62A3C"/>
    <w:rsid w:val="00D652B5"/>
    <w:rsid w:val="00D66155"/>
    <w:rsid w:val="00D67741"/>
    <w:rsid w:val="00D67D33"/>
    <w:rsid w:val="00D708B0"/>
    <w:rsid w:val="00D70FD8"/>
    <w:rsid w:val="00D7121A"/>
    <w:rsid w:val="00D7281A"/>
    <w:rsid w:val="00D77B1D"/>
    <w:rsid w:val="00D8021F"/>
    <w:rsid w:val="00D80383"/>
    <w:rsid w:val="00D823C6"/>
    <w:rsid w:val="00D82FFB"/>
    <w:rsid w:val="00D8327F"/>
    <w:rsid w:val="00D83449"/>
    <w:rsid w:val="00D855D3"/>
    <w:rsid w:val="00D85D10"/>
    <w:rsid w:val="00D86CA3"/>
    <w:rsid w:val="00D871CE"/>
    <w:rsid w:val="00D90287"/>
    <w:rsid w:val="00D9196D"/>
    <w:rsid w:val="00D92067"/>
    <w:rsid w:val="00D92982"/>
    <w:rsid w:val="00D95785"/>
    <w:rsid w:val="00DA025F"/>
    <w:rsid w:val="00DA1465"/>
    <w:rsid w:val="00DA192E"/>
    <w:rsid w:val="00DA22A1"/>
    <w:rsid w:val="00DA28EC"/>
    <w:rsid w:val="00DA305E"/>
    <w:rsid w:val="00DA3DC9"/>
    <w:rsid w:val="00DA4E95"/>
    <w:rsid w:val="00DA5417"/>
    <w:rsid w:val="00DA56E8"/>
    <w:rsid w:val="00DA76A8"/>
    <w:rsid w:val="00DA7BF0"/>
    <w:rsid w:val="00DB0A9F"/>
    <w:rsid w:val="00DB14C1"/>
    <w:rsid w:val="00DB3592"/>
    <w:rsid w:val="00DB3720"/>
    <w:rsid w:val="00DB377D"/>
    <w:rsid w:val="00DC2D36"/>
    <w:rsid w:val="00DC3459"/>
    <w:rsid w:val="00DC53EF"/>
    <w:rsid w:val="00DC575B"/>
    <w:rsid w:val="00DC7337"/>
    <w:rsid w:val="00DD1DA5"/>
    <w:rsid w:val="00DD3863"/>
    <w:rsid w:val="00DD597E"/>
    <w:rsid w:val="00DD5DC8"/>
    <w:rsid w:val="00DE49EE"/>
    <w:rsid w:val="00DE5608"/>
    <w:rsid w:val="00DE58D0"/>
    <w:rsid w:val="00DE654F"/>
    <w:rsid w:val="00DF01EA"/>
    <w:rsid w:val="00DF0B6E"/>
    <w:rsid w:val="00DF0E51"/>
    <w:rsid w:val="00DF15E0"/>
    <w:rsid w:val="00DF316A"/>
    <w:rsid w:val="00DF37A0"/>
    <w:rsid w:val="00DF440B"/>
    <w:rsid w:val="00E035B9"/>
    <w:rsid w:val="00E062FA"/>
    <w:rsid w:val="00E110E7"/>
    <w:rsid w:val="00E11201"/>
    <w:rsid w:val="00E11B20"/>
    <w:rsid w:val="00E17FA2"/>
    <w:rsid w:val="00E22330"/>
    <w:rsid w:val="00E244FA"/>
    <w:rsid w:val="00E25F46"/>
    <w:rsid w:val="00E30B5A"/>
    <w:rsid w:val="00E30D47"/>
    <w:rsid w:val="00E3123D"/>
    <w:rsid w:val="00E31461"/>
    <w:rsid w:val="00E31D43"/>
    <w:rsid w:val="00E32608"/>
    <w:rsid w:val="00E34163"/>
    <w:rsid w:val="00E34188"/>
    <w:rsid w:val="00E34B6E"/>
    <w:rsid w:val="00E35559"/>
    <w:rsid w:val="00E3599F"/>
    <w:rsid w:val="00E3723A"/>
    <w:rsid w:val="00E37860"/>
    <w:rsid w:val="00E42302"/>
    <w:rsid w:val="00E44286"/>
    <w:rsid w:val="00E446F1"/>
    <w:rsid w:val="00E46886"/>
    <w:rsid w:val="00E46E7E"/>
    <w:rsid w:val="00E47AEF"/>
    <w:rsid w:val="00E5089C"/>
    <w:rsid w:val="00E52781"/>
    <w:rsid w:val="00E53B75"/>
    <w:rsid w:val="00E54287"/>
    <w:rsid w:val="00E54E3B"/>
    <w:rsid w:val="00E5545B"/>
    <w:rsid w:val="00E57565"/>
    <w:rsid w:val="00E63838"/>
    <w:rsid w:val="00E63BBA"/>
    <w:rsid w:val="00E64434"/>
    <w:rsid w:val="00E64C77"/>
    <w:rsid w:val="00E66FB1"/>
    <w:rsid w:val="00E67C51"/>
    <w:rsid w:val="00E7031D"/>
    <w:rsid w:val="00E727B7"/>
    <w:rsid w:val="00E72954"/>
    <w:rsid w:val="00E72EFC"/>
    <w:rsid w:val="00E758EC"/>
    <w:rsid w:val="00E75916"/>
    <w:rsid w:val="00E75A22"/>
    <w:rsid w:val="00E80ACA"/>
    <w:rsid w:val="00E821DE"/>
    <w:rsid w:val="00E8234C"/>
    <w:rsid w:val="00E82E70"/>
    <w:rsid w:val="00E83AA9"/>
    <w:rsid w:val="00E85654"/>
    <w:rsid w:val="00E85928"/>
    <w:rsid w:val="00E87822"/>
    <w:rsid w:val="00E90395"/>
    <w:rsid w:val="00E90E49"/>
    <w:rsid w:val="00E917F9"/>
    <w:rsid w:val="00E923E2"/>
    <w:rsid w:val="00E9291C"/>
    <w:rsid w:val="00E92E6B"/>
    <w:rsid w:val="00E93FC6"/>
    <w:rsid w:val="00E93FFE"/>
    <w:rsid w:val="00E94A94"/>
    <w:rsid w:val="00E94F8A"/>
    <w:rsid w:val="00E95496"/>
    <w:rsid w:val="00E975D0"/>
    <w:rsid w:val="00EA1229"/>
    <w:rsid w:val="00EA45E5"/>
    <w:rsid w:val="00EA7A41"/>
    <w:rsid w:val="00EB01E9"/>
    <w:rsid w:val="00EB077B"/>
    <w:rsid w:val="00EB4EA2"/>
    <w:rsid w:val="00EB66AE"/>
    <w:rsid w:val="00EB6D87"/>
    <w:rsid w:val="00EB7AC2"/>
    <w:rsid w:val="00EC24D5"/>
    <w:rsid w:val="00EC27C6"/>
    <w:rsid w:val="00EC4207"/>
    <w:rsid w:val="00EC5653"/>
    <w:rsid w:val="00EC6B83"/>
    <w:rsid w:val="00EC71CE"/>
    <w:rsid w:val="00ED1006"/>
    <w:rsid w:val="00ED77EB"/>
    <w:rsid w:val="00ED7F88"/>
    <w:rsid w:val="00EE1DA8"/>
    <w:rsid w:val="00EE2729"/>
    <w:rsid w:val="00EE3873"/>
    <w:rsid w:val="00EE6B0C"/>
    <w:rsid w:val="00EF18FE"/>
    <w:rsid w:val="00EF2461"/>
    <w:rsid w:val="00EF4D22"/>
    <w:rsid w:val="00EF4F6F"/>
    <w:rsid w:val="00EF5787"/>
    <w:rsid w:val="00EF60D0"/>
    <w:rsid w:val="00F00F62"/>
    <w:rsid w:val="00F01DB3"/>
    <w:rsid w:val="00F03DAF"/>
    <w:rsid w:val="00F05216"/>
    <w:rsid w:val="00F0528D"/>
    <w:rsid w:val="00F06C67"/>
    <w:rsid w:val="00F06DFD"/>
    <w:rsid w:val="00F071D1"/>
    <w:rsid w:val="00F07533"/>
    <w:rsid w:val="00F10629"/>
    <w:rsid w:val="00F1454D"/>
    <w:rsid w:val="00F157F2"/>
    <w:rsid w:val="00F15FA5"/>
    <w:rsid w:val="00F209B7"/>
    <w:rsid w:val="00F22355"/>
    <w:rsid w:val="00F22649"/>
    <w:rsid w:val="00F22D7D"/>
    <w:rsid w:val="00F2376F"/>
    <w:rsid w:val="00F243D8"/>
    <w:rsid w:val="00F256D6"/>
    <w:rsid w:val="00F30828"/>
    <w:rsid w:val="00F313D6"/>
    <w:rsid w:val="00F376AE"/>
    <w:rsid w:val="00F40F0C"/>
    <w:rsid w:val="00F416C3"/>
    <w:rsid w:val="00F4766C"/>
    <w:rsid w:val="00F5060E"/>
    <w:rsid w:val="00F507D1"/>
    <w:rsid w:val="00F519CE"/>
    <w:rsid w:val="00F51ADA"/>
    <w:rsid w:val="00F55F6E"/>
    <w:rsid w:val="00F60203"/>
    <w:rsid w:val="00F607C5"/>
    <w:rsid w:val="00F60DEA"/>
    <w:rsid w:val="00F6302A"/>
    <w:rsid w:val="00F63950"/>
    <w:rsid w:val="00F64C2B"/>
    <w:rsid w:val="00F651BE"/>
    <w:rsid w:val="00F660E8"/>
    <w:rsid w:val="00F67F53"/>
    <w:rsid w:val="00F703BE"/>
    <w:rsid w:val="00F712DB"/>
    <w:rsid w:val="00F71F69"/>
    <w:rsid w:val="00F72B72"/>
    <w:rsid w:val="00F7378F"/>
    <w:rsid w:val="00F74BB9"/>
    <w:rsid w:val="00F75582"/>
    <w:rsid w:val="00F76700"/>
    <w:rsid w:val="00F76EFA"/>
    <w:rsid w:val="00F804BE"/>
    <w:rsid w:val="00F817CE"/>
    <w:rsid w:val="00F827F4"/>
    <w:rsid w:val="00F837D2"/>
    <w:rsid w:val="00F8456C"/>
    <w:rsid w:val="00F8526E"/>
    <w:rsid w:val="00F859D8"/>
    <w:rsid w:val="00F868F5"/>
    <w:rsid w:val="00F9056A"/>
    <w:rsid w:val="00F90F8D"/>
    <w:rsid w:val="00F91F83"/>
    <w:rsid w:val="00F92782"/>
    <w:rsid w:val="00F93AA9"/>
    <w:rsid w:val="00F94810"/>
    <w:rsid w:val="00F9503D"/>
    <w:rsid w:val="00F9652D"/>
    <w:rsid w:val="00F96985"/>
    <w:rsid w:val="00F976B6"/>
    <w:rsid w:val="00F97838"/>
    <w:rsid w:val="00FA2BB3"/>
    <w:rsid w:val="00FA4834"/>
    <w:rsid w:val="00FA51F7"/>
    <w:rsid w:val="00FA6973"/>
    <w:rsid w:val="00FB014A"/>
    <w:rsid w:val="00FB3E0F"/>
    <w:rsid w:val="00FB4C80"/>
    <w:rsid w:val="00FB4FA4"/>
    <w:rsid w:val="00FB6882"/>
    <w:rsid w:val="00FB6A6A"/>
    <w:rsid w:val="00FB7FFB"/>
    <w:rsid w:val="00FC1F38"/>
    <w:rsid w:val="00FC5E9A"/>
    <w:rsid w:val="00FC7429"/>
    <w:rsid w:val="00FC76B9"/>
    <w:rsid w:val="00FD07F6"/>
    <w:rsid w:val="00FD155E"/>
    <w:rsid w:val="00FD1EC8"/>
    <w:rsid w:val="00FD245A"/>
    <w:rsid w:val="00FD3E99"/>
    <w:rsid w:val="00FD47ED"/>
    <w:rsid w:val="00FD6974"/>
    <w:rsid w:val="00FD74DB"/>
    <w:rsid w:val="00FD7660"/>
    <w:rsid w:val="00FE0655"/>
    <w:rsid w:val="00FE1E9D"/>
    <w:rsid w:val="00FE2365"/>
    <w:rsid w:val="00FE2D28"/>
    <w:rsid w:val="00FE37D7"/>
    <w:rsid w:val="00FE4976"/>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1BC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A1B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1BC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styleId="UnresolvedMention">
    <w:name w:val="Unresolved Mention"/>
    <w:basedOn w:val="DefaultParagraphFont"/>
    <w:uiPriority w:val="99"/>
    <w:semiHidden/>
    <w:unhideWhenUsed/>
    <w:rsid w:val="001D79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6211910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74768581">
      <w:bodyDiv w:val="1"/>
      <w:marLeft w:val="0"/>
      <w:marRight w:val="0"/>
      <w:marTop w:val="0"/>
      <w:marBottom w:val="0"/>
      <w:divBdr>
        <w:top w:val="none" w:sz="0" w:space="0" w:color="auto"/>
        <w:left w:val="none" w:sz="0" w:space="0" w:color="auto"/>
        <w:bottom w:val="none" w:sz="0" w:space="0" w:color="auto"/>
        <w:right w:val="none" w:sz="0" w:space="0" w:color="auto"/>
      </w:divBdr>
    </w:div>
    <w:div w:id="1420564713">
      <w:bodyDiv w:val="1"/>
      <w:marLeft w:val="0"/>
      <w:marRight w:val="0"/>
      <w:marTop w:val="0"/>
      <w:marBottom w:val="0"/>
      <w:divBdr>
        <w:top w:val="none" w:sz="0" w:space="0" w:color="auto"/>
        <w:left w:val="none" w:sz="0" w:space="0" w:color="auto"/>
        <w:bottom w:val="none" w:sz="0" w:space="0" w:color="auto"/>
        <w:right w:val="none" w:sz="0" w:space="0" w:color="auto"/>
      </w:divBdr>
    </w:div>
    <w:div w:id="172040045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29001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7A5A8-3DB3-4BEC-B675-F7B5C43BB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4189</Words>
  <Characters>23880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28013</CharactersWithSpaces>
  <SharedDoc>false</SharedDoc>
  <HLinks>
    <vt:vector size="144" baseType="variant">
      <vt:variant>
        <vt:i4>1769520</vt:i4>
      </vt:variant>
      <vt:variant>
        <vt:i4>119</vt:i4>
      </vt:variant>
      <vt:variant>
        <vt:i4>0</vt:i4>
      </vt:variant>
      <vt:variant>
        <vt:i4>5</vt:i4>
      </vt:variant>
      <vt:variant>
        <vt:lpwstr/>
      </vt:variant>
      <vt:variant>
        <vt:lpwstr>_Toc16686113</vt:lpwstr>
      </vt:variant>
      <vt:variant>
        <vt:i4>1703984</vt:i4>
      </vt:variant>
      <vt:variant>
        <vt:i4>116</vt:i4>
      </vt:variant>
      <vt:variant>
        <vt:i4>0</vt:i4>
      </vt:variant>
      <vt:variant>
        <vt:i4>5</vt:i4>
      </vt:variant>
      <vt:variant>
        <vt:lpwstr/>
      </vt:variant>
      <vt:variant>
        <vt:lpwstr>_Toc16686112</vt:lpwstr>
      </vt:variant>
      <vt:variant>
        <vt:i4>1638448</vt:i4>
      </vt:variant>
      <vt:variant>
        <vt:i4>113</vt:i4>
      </vt:variant>
      <vt:variant>
        <vt:i4>0</vt:i4>
      </vt:variant>
      <vt:variant>
        <vt:i4>5</vt:i4>
      </vt:variant>
      <vt:variant>
        <vt:lpwstr/>
      </vt:variant>
      <vt:variant>
        <vt:lpwstr>_Toc16686111</vt:lpwstr>
      </vt:variant>
      <vt:variant>
        <vt:i4>1572912</vt:i4>
      </vt:variant>
      <vt:variant>
        <vt:i4>110</vt:i4>
      </vt:variant>
      <vt:variant>
        <vt:i4>0</vt:i4>
      </vt:variant>
      <vt:variant>
        <vt:i4>5</vt:i4>
      </vt:variant>
      <vt:variant>
        <vt:lpwstr/>
      </vt:variant>
      <vt:variant>
        <vt:lpwstr>_Toc16686110</vt:lpwstr>
      </vt:variant>
      <vt:variant>
        <vt:i4>1114161</vt:i4>
      </vt:variant>
      <vt:variant>
        <vt:i4>107</vt:i4>
      </vt:variant>
      <vt:variant>
        <vt:i4>0</vt:i4>
      </vt:variant>
      <vt:variant>
        <vt:i4>5</vt:i4>
      </vt:variant>
      <vt:variant>
        <vt:lpwstr/>
      </vt:variant>
      <vt:variant>
        <vt:lpwstr>_Toc16686109</vt:lpwstr>
      </vt:variant>
      <vt:variant>
        <vt:i4>1048625</vt:i4>
      </vt:variant>
      <vt:variant>
        <vt:i4>104</vt:i4>
      </vt:variant>
      <vt:variant>
        <vt:i4>0</vt:i4>
      </vt:variant>
      <vt:variant>
        <vt:i4>5</vt:i4>
      </vt:variant>
      <vt:variant>
        <vt:lpwstr/>
      </vt:variant>
      <vt:variant>
        <vt:lpwstr>_Toc16686108</vt:lpwstr>
      </vt:variant>
      <vt:variant>
        <vt:i4>2031665</vt:i4>
      </vt:variant>
      <vt:variant>
        <vt:i4>101</vt:i4>
      </vt:variant>
      <vt:variant>
        <vt:i4>0</vt:i4>
      </vt:variant>
      <vt:variant>
        <vt:i4>5</vt:i4>
      </vt:variant>
      <vt:variant>
        <vt:lpwstr/>
      </vt:variant>
      <vt:variant>
        <vt:lpwstr>_Toc16686107</vt:lpwstr>
      </vt:variant>
      <vt:variant>
        <vt:i4>1966129</vt:i4>
      </vt:variant>
      <vt:variant>
        <vt:i4>98</vt:i4>
      </vt:variant>
      <vt:variant>
        <vt:i4>0</vt:i4>
      </vt:variant>
      <vt:variant>
        <vt:i4>5</vt:i4>
      </vt:variant>
      <vt:variant>
        <vt:lpwstr/>
      </vt:variant>
      <vt:variant>
        <vt:lpwstr>_Toc16686106</vt:lpwstr>
      </vt:variant>
      <vt:variant>
        <vt:i4>1900593</vt:i4>
      </vt:variant>
      <vt:variant>
        <vt:i4>95</vt:i4>
      </vt:variant>
      <vt:variant>
        <vt:i4>0</vt:i4>
      </vt:variant>
      <vt:variant>
        <vt:i4>5</vt:i4>
      </vt:variant>
      <vt:variant>
        <vt:lpwstr/>
      </vt:variant>
      <vt:variant>
        <vt:lpwstr>_Toc16686105</vt:lpwstr>
      </vt:variant>
      <vt:variant>
        <vt:i4>1835057</vt:i4>
      </vt:variant>
      <vt:variant>
        <vt:i4>92</vt:i4>
      </vt:variant>
      <vt:variant>
        <vt:i4>0</vt:i4>
      </vt:variant>
      <vt:variant>
        <vt:i4>5</vt:i4>
      </vt:variant>
      <vt:variant>
        <vt:lpwstr/>
      </vt:variant>
      <vt:variant>
        <vt:lpwstr>_Toc16686104</vt:lpwstr>
      </vt:variant>
      <vt:variant>
        <vt:i4>1769521</vt:i4>
      </vt:variant>
      <vt:variant>
        <vt:i4>89</vt:i4>
      </vt:variant>
      <vt:variant>
        <vt:i4>0</vt:i4>
      </vt:variant>
      <vt:variant>
        <vt:i4>5</vt:i4>
      </vt:variant>
      <vt:variant>
        <vt:lpwstr/>
      </vt:variant>
      <vt:variant>
        <vt:lpwstr>_Toc16686103</vt:lpwstr>
      </vt:variant>
      <vt:variant>
        <vt:i4>1703985</vt:i4>
      </vt:variant>
      <vt:variant>
        <vt:i4>86</vt:i4>
      </vt:variant>
      <vt:variant>
        <vt:i4>0</vt:i4>
      </vt:variant>
      <vt:variant>
        <vt:i4>5</vt:i4>
      </vt:variant>
      <vt:variant>
        <vt:lpwstr/>
      </vt:variant>
      <vt:variant>
        <vt:lpwstr>_Toc16686102</vt:lpwstr>
      </vt:variant>
      <vt:variant>
        <vt:i4>1638449</vt:i4>
      </vt:variant>
      <vt:variant>
        <vt:i4>83</vt:i4>
      </vt:variant>
      <vt:variant>
        <vt:i4>0</vt:i4>
      </vt:variant>
      <vt:variant>
        <vt:i4>5</vt:i4>
      </vt:variant>
      <vt:variant>
        <vt:lpwstr/>
      </vt:variant>
      <vt:variant>
        <vt:lpwstr>_Toc16686101</vt:lpwstr>
      </vt:variant>
      <vt:variant>
        <vt:i4>1572918</vt:i4>
      </vt:variant>
      <vt:variant>
        <vt:i4>77</vt:i4>
      </vt:variant>
      <vt:variant>
        <vt:i4>0</vt:i4>
      </vt:variant>
      <vt:variant>
        <vt:i4>5</vt:i4>
      </vt:variant>
      <vt:variant>
        <vt:lpwstr/>
      </vt:variant>
      <vt:variant>
        <vt:lpwstr>_Toc16777678</vt:lpwstr>
      </vt:variant>
      <vt:variant>
        <vt:i4>1507382</vt:i4>
      </vt:variant>
      <vt:variant>
        <vt:i4>74</vt:i4>
      </vt:variant>
      <vt:variant>
        <vt:i4>0</vt:i4>
      </vt:variant>
      <vt:variant>
        <vt:i4>5</vt:i4>
      </vt:variant>
      <vt:variant>
        <vt:lpwstr/>
      </vt:variant>
      <vt:variant>
        <vt:lpwstr>_Toc16777677</vt:lpwstr>
      </vt:variant>
      <vt:variant>
        <vt:i4>1441846</vt:i4>
      </vt:variant>
      <vt:variant>
        <vt:i4>71</vt:i4>
      </vt:variant>
      <vt:variant>
        <vt:i4>0</vt:i4>
      </vt:variant>
      <vt:variant>
        <vt:i4>5</vt:i4>
      </vt:variant>
      <vt:variant>
        <vt:lpwstr/>
      </vt:variant>
      <vt:variant>
        <vt:lpwstr>_Toc16777676</vt:lpwstr>
      </vt:variant>
      <vt:variant>
        <vt:i4>1376310</vt:i4>
      </vt:variant>
      <vt:variant>
        <vt:i4>68</vt:i4>
      </vt:variant>
      <vt:variant>
        <vt:i4>0</vt:i4>
      </vt:variant>
      <vt:variant>
        <vt:i4>5</vt:i4>
      </vt:variant>
      <vt:variant>
        <vt:lpwstr/>
      </vt:variant>
      <vt:variant>
        <vt:lpwstr>_Toc16777675</vt:lpwstr>
      </vt:variant>
      <vt:variant>
        <vt:i4>1310774</vt:i4>
      </vt:variant>
      <vt:variant>
        <vt:i4>65</vt:i4>
      </vt:variant>
      <vt:variant>
        <vt:i4>0</vt:i4>
      </vt:variant>
      <vt:variant>
        <vt:i4>5</vt:i4>
      </vt:variant>
      <vt:variant>
        <vt:lpwstr/>
      </vt:variant>
      <vt:variant>
        <vt:lpwstr>_Toc16777674</vt:lpwstr>
      </vt:variant>
      <vt:variant>
        <vt:i4>1245238</vt:i4>
      </vt:variant>
      <vt:variant>
        <vt:i4>62</vt:i4>
      </vt:variant>
      <vt:variant>
        <vt:i4>0</vt:i4>
      </vt:variant>
      <vt:variant>
        <vt:i4>5</vt:i4>
      </vt:variant>
      <vt:variant>
        <vt:lpwstr/>
      </vt:variant>
      <vt:variant>
        <vt:lpwstr>_Toc16777673</vt:lpwstr>
      </vt:variant>
      <vt:variant>
        <vt:i4>1179702</vt:i4>
      </vt:variant>
      <vt:variant>
        <vt:i4>59</vt:i4>
      </vt:variant>
      <vt:variant>
        <vt:i4>0</vt:i4>
      </vt:variant>
      <vt:variant>
        <vt:i4>5</vt:i4>
      </vt:variant>
      <vt:variant>
        <vt:lpwstr/>
      </vt:variant>
      <vt:variant>
        <vt:lpwstr>_Toc16777672</vt:lpwstr>
      </vt:variant>
      <vt:variant>
        <vt:i4>1114166</vt:i4>
      </vt:variant>
      <vt:variant>
        <vt:i4>56</vt:i4>
      </vt:variant>
      <vt:variant>
        <vt:i4>0</vt:i4>
      </vt:variant>
      <vt:variant>
        <vt:i4>5</vt:i4>
      </vt:variant>
      <vt:variant>
        <vt:lpwstr/>
      </vt:variant>
      <vt:variant>
        <vt:lpwstr>_Toc16777671</vt:lpwstr>
      </vt:variant>
      <vt:variant>
        <vt:i4>1048630</vt:i4>
      </vt:variant>
      <vt:variant>
        <vt:i4>53</vt:i4>
      </vt:variant>
      <vt:variant>
        <vt:i4>0</vt:i4>
      </vt:variant>
      <vt:variant>
        <vt:i4>5</vt:i4>
      </vt:variant>
      <vt:variant>
        <vt:lpwstr/>
      </vt:variant>
      <vt:variant>
        <vt:lpwstr>_Toc16777670</vt:lpwstr>
      </vt:variant>
      <vt:variant>
        <vt:i4>1638455</vt:i4>
      </vt:variant>
      <vt:variant>
        <vt:i4>50</vt:i4>
      </vt:variant>
      <vt:variant>
        <vt:i4>0</vt:i4>
      </vt:variant>
      <vt:variant>
        <vt:i4>5</vt:i4>
      </vt:variant>
      <vt:variant>
        <vt:lpwstr/>
      </vt:variant>
      <vt:variant>
        <vt:lpwstr>_Toc16777669</vt:lpwstr>
      </vt:variant>
      <vt:variant>
        <vt:i4>2228273</vt:i4>
      </vt:variant>
      <vt:variant>
        <vt:i4>0</vt:i4>
      </vt:variant>
      <vt:variant>
        <vt:i4>0</vt:i4>
      </vt:variant>
      <vt:variant>
        <vt:i4>5</vt:i4>
      </vt:variant>
      <vt:variant>
        <vt:lpwstr>https://ericsson.sharepoint.com/:p:/r/sites/star/Shared Documents/Team areas/cMTC area/Air to Ground/Activities/A2G 108 - NTN System level calibrations/20190725 RedhawkUpdates.pptx?d=wfc0dfec5cc094ab690fd79a0f23e6aa7&amp;csf=1&amp;e=xxDVzu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2019-08-17T04:22:00Z</dcterms:created>
  <dcterms:modified xsi:type="dcterms:W3CDTF">2019-08-17T04:22:00Z</dcterms:modified>
  <cp:category/>
</cp:coreProperties>
</file>